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DD" w:rsidRDefault="001476DD">
      <w:pPr>
        <w:pStyle w:val="Zkladntext"/>
        <w:rPr>
          <w:rFonts w:ascii="Times New Roman"/>
          <w:sz w:val="20"/>
        </w:rPr>
      </w:pPr>
    </w:p>
    <w:p w:rsidR="001476DD" w:rsidRDefault="001476DD">
      <w:pPr>
        <w:pStyle w:val="Zkladntext"/>
        <w:spacing w:before="1"/>
        <w:rPr>
          <w:rFonts w:ascii="Times New Roman"/>
          <w:sz w:val="26"/>
        </w:rPr>
      </w:pPr>
    </w:p>
    <w:p w:rsidR="001476DD" w:rsidRPr="00AB1559" w:rsidRDefault="00F9352E">
      <w:pPr>
        <w:pStyle w:val="Nzov"/>
        <w:rPr>
          <w:lang w:val="sk-SK"/>
        </w:rPr>
      </w:pPr>
      <w:bookmarkStart w:id="0" w:name="KYROL_TC"/>
      <w:bookmarkEnd w:id="0"/>
      <w:r w:rsidRPr="00AB1559">
        <w:rPr>
          <w:lang w:val="sk-SK"/>
        </w:rPr>
        <w:t>KYROL TC</w:t>
      </w:r>
    </w:p>
    <w:p w:rsidR="001476DD" w:rsidRPr="00AB1559" w:rsidRDefault="00BD74A9">
      <w:pPr>
        <w:spacing w:before="245"/>
        <w:ind w:left="3839" w:right="4031"/>
        <w:jc w:val="center"/>
        <w:rPr>
          <w:b/>
          <w:sz w:val="28"/>
          <w:lang w:val="sk-SK"/>
        </w:rPr>
      </w:pPr>
      <w:r w:rsidRPr="00AB1559">
        <w:rPr>
          <w:b/>
          <w:sz w:val="28"/>
          <w:lang w:val="sk-SK"/>
        </w:rPr>
        <w:t>D</w:t>
      </w:r>
      <w:r w:rsidR="00B55540" w:rsidRPr="00AB1559">
        <w:rPr>
          <w:b/>
          <w:sz w:val="28"/>
          <w:lang w:val="sk-SK"/>
        </w:rPr>
        <w:t>átový list</w:t>
      </w:r>
      <w:r w:rsidRPr="00AB1559">
        <w:rPr>
          <w:b/>
          <w:sz w:val="28"/>
          <w:lang w:val="sk-SK"/>
        </w:rPr>
        <w:t xml:space="preserve"> </w:t>
      </w:r>
    </w:p>
    <w:p w:rsidR="00BD74A9" w:rsidRPr="00AB1559" w:rsidRDefault="00BD74A9">
      <w:pPr>
        <w:spacing w:before="245"/>
        <w:ind w:left="3839" w:right="4031"/>
        <w:jc w:val="center"/>
        <w:rPr>
          <w:b/>
          <w:sz w:val="28"/>
          <w:lang w:val="sk-SK"/>
        </w:rPr>
      </w:pPr>
    </w:p>
    <w:p w:rsidR="001476DD" w:rsidRPr="00AB1559" w:rsidRDefault="00BD74A9">
      <w:pPr>
        <w:pStyle w:val="Zkladntext"/>
        <w:spacing w:before="184"/>
        <w:ind w:left="240" w:right="365"/>
        <w:rPr>
          <w:lang w:val="sk-SK"/>
        </w:rPr>
      </w:pPr>
      <w:r w:rsidRPr="00AB1559">
        <w:rPr>
          <w:lang w:val="sk-SK"/>
        </w:rPr>
        <w:t xml:space="preserve">KYROL TC je tekutý, širokospektrálny </w:t>
      </w:r>
      <w:proofErr w:type="spellStart"/>
      <w:r w:rsidRPr="00AB1559">
        <w:rPr>
          <w:lang w:val="sk-SK"/>
        </w:rPr>
        <w:t>biocíd</w:t>
      </w:r>
      <w:proofErr w:type="spellEnd"/>
      <w:r w:rsidRPr="00AB1559">
        <w:rPr>
          <w:lang w:val="sk-SK"/>
        </w:rPr>
        <w:t>. Má silnú oxidačnú silu a vynikajúce dezinfekčné vlastnosti</w:t>
      </w:r>
      <w:r w:rsidR="00F9352E" w:rsidRPr="00AB1559">
        <w:rPr>
          <w:lang w:val="sk-SK"/>
        </w:rPr>
        <w:t>.</w:t>
      </w:r>
    </w:p>
    <w:p w:rsidR="001476DD" w:rsidRPr="00AB1559" w:rsidRDefault="00BD74A9">
      <w:pPr>
        <w:pStyle w:val="Zkladntext"/>
        <w:spacing w:before="184"/>
        <w:ind w:left="240" w:right="365"/>
        <w:rPr>
          <w:lang w:val="sk-SK"/>
        </w:rPr>
      </w:pPr>
      <w:r w:rsidRPr="00AB1559">
        <w:rPr>
          <w:lang w:val="sk-SK"/>
        </w:rPr>
        <w:t xml:space="preserve">KYROL TC je riešenie pripravené na použitie. Oxid </w:t>
      </w:r>
      <w:proofErr w:type="spellStart"/>
      <w:r w:rsidRPr="00AB1559">
        <w:rPr>
          <w:lang w:val="sk-SK"/>
        </w:rPr>
        <w:t>chloričitý</w:t>
      </w:r>
      <w:proofErr w:type="spellEnd"/>
      <w:r w:rsidRPr="00AB1559">
        <w:rPr>
          <w:lang w:val="sk-SK"/>
        </w:rPr>
        <w:t xml:space="preserve"> vzniká priamo vo vode. To znamená, že nie je potrebná žiadna aktivácia</w:t>
      </w:r>
      <w:r w:rsidR="00F9352E" w:rsidRPr="00AB1559">
        <w:rPr>
          <w:lang w:val="sk-SK"/>
        </w:rPr>
        <w:t>.</w:t>
      </w:r>
    </w:p>
    <w:p w:rsidR="00BD74A9" w:rsidRPr="00AB1559" w:rsidRDefault="00BD74A9" w:rsidP="00BD74A9">
      <w:pPr>
        <w:pStyle w:val="Zkladntext"/>
        <w:ind w:left="240" w:right="1579"/>
        <w:rPr>
          <w:b/>
          <w:bCs/>
          <w:lang w:val="sk-SK"/>
        </w:rPr>
      </w:pPr>
    </w:p>
    <w:p w:rsidR="00BD74A9" w:rsidRPr="00AB1559" w:rsidRDefault="00BD74A9" w:rsidP="00BD74A9">
      <w:pPr>
        <w:pStyle w:val="Zkladntext"/>
        <w:ind w:left="240" w:right="1579"/>
        <w:rPr>
          <w:b/>
          <w:bCs/>
          <w:lang w:val="sk-SK"/>
        </w:rPr>
      </w:pPr>
      <w:r w:rsidRPr="00AB1559">
        <w:rPr>
          <w:b/>
          <w:bCs/>
          <w:lang w:val="sk-SK"/>
        </w:rPr>
        <w:t>Manipulácia:</w:t>
      </w:r>
    </w:p>
    <w:p w:rsidR="001476DD" w:rsidRPr="00AB1559" w:rsidRDefault="00BD74A9" w:rsidP="00BD74A9">
      <w:pPr>
        <w:pStyle w:val="Zkladntext"/>
        <w:ind w:left="240" w:right="1579"/>
        <w:rPr>
          <w:lang w:val="sk-SK"/>
        </w:rPr>
      </w:pPr>
      <w:r w:rsidRPr="00AB1559">
        <w:rPr>
          <w:bCs/>
          <w:lang w:val="sk-SK"/>
        </w:rPr>
        <w:t>KYROL TC umožňuje priame dávkovanie z výdajnej nádoby pomocou dávkovacieho čerpadla alebo manuálne.</w:t>
      </w:r>
    </w:p>
    <w:p w:rsidR="001476DD" w:rsidRPr="00AB1559" w:rsidRDefault="00BD74A9">
      <w:pPr>
        <w:pStyle w:val="Heading1"/>
        <w:spacing w:before="184"/>
        <w:rPr>
          <w:lang w:val="sk-SK"/>
        </w:rPr>
      </w:pPr>
      <w:r w:rsidRPr="00AB1559">
        <w:rPr>
          <w:lang w:val="sk-SK"/>
        </w:rPr>
        <w:t>Odporúčané dávkovanie:</w:t>
      </w:r>
    </w:p>
    <w:tbl>
      <w:tblPr>
        <w:tblStyle w:val="TableNormal"/>
        <w:tblW w:w="0" w:type="auto"/>
        <w:tblInd w:w="270" w:type="dxa"/>
        <w:tblBorders>
          <w:top w:val="single" w:sz="24" w:space="0" w:color="3364A3"/>
          <w:left w:val="single" w:sz="24" w:space="0" w:color="3364A3"/>
          <w:bottom w:val="single" w:sz="24" w:space="0" w:color="3364A3"/>
          <w:right w:val="single" w:sz="24" w:space="0" w:color="3364A3"/>
          <w:insideH w:val="single" w:sz="24" w:space="0" w:color="3364A3"/>
          <w:insideV w:val="single" w:sz="24" w:space="0" w:color="3364A3"/>
        </w:tblBorders>
        <w:tblLayout w:type="fixed"/>
        <w:tblLook w:val="01E0"/>
      </w:tblPr>
      <w:tblGrid>
        <w:gridCol w:w="3684"/>
        <w:gridCol w:w="5388"/>
      </w:tblGrid>
      <w:tr w:rsidR="001476DD" w:rsidRPr="00AB1559">
        <w:trPr>
          <w:trHeight w:val="335"/>
        </w:trPr>
        <w:tc>
          <w:tcPr>
            <w:tcW w:w="3684" w:type="dxa"/>
          </w:tcPr>
          <w:p w:rsidR="001476DD" w:rsidRPr="00AB1559" w:rsidRDefault="00BD74A9">
            <w:pPr>
              <w:pStyle w:val="TableParagraph"/>
              <w:spacing w:before="54"/>
              <w:ind w:left="54"/>
              <w:rPr>
                <w:b/>
                <w:sz w:val="20"/>
                <w:lang w:val="sk-SK"/>
              </w:rPr>
            </w:pPr>
            <w:r w:rsidRPr="00AB1559">
              <w:rPr>
                <w:b/>
                <w:sz w:val="20"/>
                <w:u w:val="single"/>
                <w:lang w:val="sk-SK"/>
              </w:rPr>
              <w:t>Príklad</w:t>
            </w:r>
            <w:r w:rsidR="00B904D3" w:rsidRPr="00AB1559">
              <w:rPr>
                <w:b/>
                <w:sz w:val="20"/>
                <w:u w:val="single"/>
                <w:lang w:val="sk-SK"/>
              </w:rPr>
              <w:t>y aplikácií</w:t>
            </w:r>
          </w:p>
        </w:tc>
        <w:tc>
          <w:tcPr>
            <w:tcW w:w="5388" w:type="dxa"/>
          </w:tcPr>
          <w:p w:rsidR="001476DD" w:rsidRPr="00AB1559" w:rsidRDefault="00B904D3">
            <w:pPr>
              <w:pStyle w:val="TableParagraph"/>
              <w:spacing w:before="54"/>
              <w:ind w:left="56"/>
              <w:rPr>
                <w:b/>
                <w:sz w:val="20"/>
                <w:lang w:val="sk-SK"/>
              </w:rPr>
            </w:pPr>
            <w:r w:rsidRPr="00AB1559">
              <w:rPr>
                <w:b/>
                <w:sz w:val="20"/>
                <w:u w:val="single"/>
                <w:lang w:val="sk-SK"/>
              </w:rPr>
              <w:t>Odporúčané dávkovanie</w:t>
            </w:r>
          </w:p>
        </w:tc>
      </w:tr>
      <w:tr w:rsidR="001476DD" w:rsidRPr="00AB1559">
        <w:trPr>
          <w:trHeight w:val="348"/>
        </w:trPr>
        <w:tc>
          <w:tcPr>
            <w:tcW w:w="3684" w:type="dxa"/>
          </w:tcPr>
          <w:p w:rsidR="001476DD" w:rsidRPr="00AB1559" w:rsidRDefault="00BD74A9">
            <w:pPr>
              <w:pStyle w:val="TableParagraph"/>
              <w:spacing w:before="54"/>
              <w:ind w:left="54"/>
              <w:rPr>
                <w:sz w:val="20"/>
                <w:lang w:val="sk-SK"/>
              </w:rPr>
            </w:pPr>
            <w:r w:rsidRPr="00AB1559">
              <w:rPr>
                <w:sz w:val="20"/>
                <w:lang w:val="sk-SK"/>
              </w:rPr>
              <w:t>Nádrž na pitnú vodu na dezinfekciu nástrekom</w:t>
            </w:r>
          </w:p>
        </w:tc>
        <w:tc>
          <w:tcPr>
            <w:tcW w:w="5388" w:type="dxa"/>
          </w:tcPr>
          <w:p w:rsidR="001476DD" w:rsidRPr="00AB1559" w:rsidRDefault="00BD74A9">
            <w:pPr>
              <w:pStyle w:val="TableParagraph"/>
              <w:spacing w:before="53"/>
              <w:ind w:left="56"/>
              <w:rPr>
                <w:sz w:val="21"/>
                <w:lang w:val="sk-SK"/>
              </w:rPr>
            </w:pPr>
            <w:r w:rsidRPr="00AB1559">
              <w:rPr>
                <w:sz w:val="21"/>
                <w:lang w:val="sk-SK"/>
              </w:rPr>
              <w:t>5,0 l/</w:t>
            </w:r>
            <w:r w:rsidR="00F9352E" w:rsidRPr="00AB1559">
              <w:rPr>
                <w:sz w:val="21"/>
                <w:lang w:val="sk-SK"/>
              </w:rPr>
              <w:t xml:space="preserve">m³ </w:t>
            </w:r>
            <w:r w:rsidRPr="00AB1559">
              <w:rPr>
                <w:sz w:val="21"/>
                <w:lang w:val="sk-SK"/>
              </w:rPr>
              <w:t>vody</w:t>
            </w:r>
          </w:p>
        </w:tc>
      </w:tr>
      <w:tr w:rsidR="001476DD" w:rsidRPr="00AB1559">
        <w:trPr>
          <w:trHeight w:val="347"/>
        </w:trPr>
        <w:tc>
          <w:tcPr>
            <w:tcW w:w="3684" w:type="dxa"/>
          </w:tcPr>
          <w:p w:rsidR="001476DD" w:rsidRPr="00AB1559" w:rsidRDefault="00BD74A9">
            <w:pPr>
              <w:pStyle w:val="TableParagraph"/>
              <w:spacing w:before="54"/>
              <w:ind w:left="54"/>
              <w:rPr>
                <w:sz w:val="20"/>
                <w:lang w:val="sk-SK"/>
              </w:rPr>
            </w:pPr>
            <w:r w:rsidRPr="00AB1559">
              <w:rPr>
                <w:sz w:val="20"/>
                <w:lang w:val="sk-SK"/>
              </w:rPr>
              <w:t>Čistenie odpadovej vody</w:t>
            </w:r>
          </w:p>
        </w:tc>
        <w:tc>
          <w:tcPr>
            <w:tcW w:w="5388" w:type="dxa"/>
          </w:tcPr>
          <w:p w:rsidR="001476DD" w:rsidRPr="00AB1559" w:rsidRDefault="00F9352E">
            <w:pPr>
              <w:pStyle w:val="TableParagraph"/>
              <w:spacing w:before="53"/>
              <w:ind w:left="56"/>
              <w:rPr>
                <w:sz w:val="21"/>
                <w:lang w:val="sk-SK"/>
              </w:rPr>
            </w:pPr>
            <w:r w:rsidRPr="00AB1559">
              <w:rPr>
                <w:sz w:val="21"/>
                <w:lang w:val="sk-SK"/>
              </w:rPr>
              <w:t>30,0 ml/m³</w:t>
            </w:r>
          </w:p>
        </w:tc>
      </w:tr>
      <w:tr w:rsidR="001476DD" w:rsidRPr="00AB1559">
        <w:trPr>
          <w:trHeight w:val="348"/>
        </w:trPr>
        <w:tc>
          <w:tcPr>
            <w:tcW w:w="3684" w:type="dxa"/>
          </w:tcPr>
          <w:p w:rsidR="001476DD" w:rsidRPr="00AB1559" w:rsidRDefault="00BD74A9">
            <w:pPr>
              <w:pStyle w:val="TableParagraph"/>
              <w:spacing w:before="54"/>
              <w:ind w:left="54"/>
              <w:rPr>
                <w:sz w:val="20"/>
                <w:lang w:val="sk-SK"/>
              </w:rPr>
            </w:pPr>
            <w:r w:rsidRPr="00AB1559">
              <w:rPr>
                <w:sz w:val="20"/>
                <w:lang w:val="sk-SK"/>
              </w:rPr>
              <w:t>Uzavreté chladiace systémy</w:t>
            </w:r>
          </w:p>
        </w:tc>
        <w:tc>
          <w:tcPr>
            <w:tcW w:w="5388" w:type="dxa"/>
          </w:tcPr>
          <w:p w:rsidR="001476DD" w:rsidRPr="00AB1559" w:rsidRDefault="00F9352E">
            <w:pPr>
              <w:pStyle w:val="TableParagraph"/>
              <w:spacing w:before="53"/>
              <w:ind w:left="56"/>
              <w:rPr>
                <w:sz w:val="21"/>
                <w:lang w:val="sk-SK"/>
              </w:rPr>
            </w:pPr>
            <w:r w:rsidRPr="00AB1559">
              <w:rPr>
                <w:sz w:val="21"/>
                <w:lang w:val="sk-SK"/>
              </w:rPr>
              <w:t>25,0 ml/m³</w:t>
            </w:r>
          </w:p>
        </w:tc>
      </w:tr>
      <w:tr w:rsidR="001476DD" w:rsidRPr="00AB1559">
        <w:trPr>
          <w:trHeight w:val="347"/>
        </w:trPr>
        <w:tc>
          <w:tcPr>
            <w:tcW w:w="3684" w:type="dxa"/>
          </w:tcPr>
          <w:p w:rsidR="001476DD" w:rsidRPr="00AB1559" w:rsidRDefault="00BD74A9">
            <w:pPr>
              <w:pStyle w:val="TableParagraph"/>
              <w:spacing w:before="54"/>
              <w:ind w:left="54"/>
              <w:rPr>
                <w:sz w:val="20"/>
                <w:lang w:val="sk-SK"/>
              </w:rPr>
            </w:pPr>
            <w:r w:rsidRPr="00AB1559">
              <w:rPr>
                <w:sz w:val="20"/>
                <w:lang w:val="sk-SK"/>
              </w:rPr>
              <w:t>Otvorené chladiace systémy</w:t>
            </w:r>
          </w:p>
        </w:tc>
        <w:tc>
          <w:tcPr>
            <w:tcW w:w="5388" w:type="dxa"/>
          </w:tcPr>
          <w:p w:rsidR="001476DD" w:rsidRPr="00AB1559" w:rsidRDefault="00F9352E">
            <w:pPr>
              <w:pStyle w:val="TableParagraph"/>
              <w:spacing w:before="53"/>
              <w:ind w:left="56"/>
              <w:rPr>
                <w:sz w:val="21"/>
                <w:lang w:val="sk-SK"/>
              </w:rPr>
            </w:pPr>
            <w:r w:rsidRPr="00AB1559">
              <w:rPr>
                <w:sz w:val="21"/>
                <w:lang w:val="sk-SK"/>
              </w:rPr>
              <w:t>40,0 ml/m³</w:t>
            </w:r>
          </w:p>
        </w:tc>
      </w:tr>
      <w:tr w:rsidR="001476DD" w:rsidRPr="00AB1559">
        <w:trPr>
          <w:trHeight w:val="347"/>
        </w:trPr>
        <w:tc>
          <w:tcPr>
            <w:tcW w:w="3684" w:type="dxa"/>
          </w:tcPr>
          <w:p w:rsidR="001476DD" w:rsidRPr="00AB1559" w:rsidRDefault="00BD74A9">
            <w:pPr>
              <w:pStyle w:val="TableParagraph"/>
              <w:spacing w:before="54"/>
              <w:ind w:left="54"/>
              <w:rPr>
                <w:sz w:val="20"/>
                <w:lang w:val="sk-SK"/>
              </w:rPr>
            </w:pPr>
            <w:r w:rsidRPr="00AB1559">
              <w:rPr>
                <w:sz w:val="20"/>
                <w:lang w:val="sk-SK"/>
              </w:rPr>
              <w:t>Úprava umývacej vody</w:t>
            </w:r>
          </w:p>
        </w:tc>
        <w:tc>
          <w:tcPr>
            <w:tcW w:w="5388" w:type="dxa"/>
          </w:tcPr>
          <w:p w:rsidR="001476DD" w:rsidRPr="00AB1559" w:rsidRDefault="00BD74A9">
            <w:pPr>
              <w:pStyle w:val="TableParagraph"/>
              <w:tabs>
                <w:tab w:val="left" w:pos="953"/>
              </w:tabs>
              <w:spacing w:before="53"/>
              <w:ind w:left="56"/>
              <w:rPr>
                <w:sz w:val="21"/>
                <w:lang w:val="sk-SK"/>
              </w:rPr>
            </w:pPr>
            <w:r w:rsidRPr="00AB1559">
              <w:rPr>
                <w:sz w:val="21"/>
                <w:lang w:val="sk-SK"/>
              </w:rPr>
              <w:t xml:space="preserve">150,0 </w:t>
            </w:r>
            <w:r w:rsidR="00F9352E" w:rsidRPr="00AB1559">
              <w:rPr>
                <w:sz w:val="21"/>
                <w:lang w:val="sk-SK"/>
              </w:rPr>
              <w:t>ml/m³</w:t>
            </w:r>
          </w:p>
        </w:tc>
      </w:tr>
      <w:tr w:rsidR="001476DD" w:rsidRPr="00AB1559">
        <w:trPr>
          <w:trHeight w:val="348"/>
        </w:trPr>
        <w:tc>
          <w:tcPr>
            <w:tcW w:w="3684" w:type="dxa"/>
          </w:tcPr>
          <w:p w:rsidR="001476DD" w:rsidRPr="00AB1559" w:rsidRDefault="00BD74A9">
            <w:pPr>
              <w:pStyle w:val="TableParagraph"/>
              <w:spacing w:before="54"/>
              <w:ind w:left="54"/>
              <w:rPr>
                <w:sz w:val="20"/>
                <w:lang w:val="sk-SK"/>
              </w:rPr>
            </w:pPr>
            <w:r w:rsidRPr="00AB1559">
              <w:rPr>
                <w:sz w:val="20"/>
                <w:lang w:val="sk-SK"/>
              </w:rPr>
              <w:t>Filtračné systémy</w:t>
            </w:r>
          </w:p>
        </w:tc>
        <w:tc>
          <w:tcPr>
            <w:tcW w:w="5388" w:type="dxa"/>
          </w:tcPr>
          <w:p w:rsidR="001476DD" w:rsidRPr="00AB1559" w:rsidRDefault="00F9352E">
            <w:pPr>
              <w:pStyle w:val="TableParagraph"/>
              <w:spacing w:before="53"/>
              <w:ind w:left="56"/>
              <w:rPr>
                <w:sz w:val="21"/>
                <w:lang w:val="sk-SK"/>
              </w:rPr>
            </w:pPr>
            <w:r w:rsidRPr="00AB1559">
              <w:rPr>
                <w:sz w:val="21"/>
                <w:lang w:val="sk-SK"/>
              </w:rPr>
              <w:t>50,0 ml/m³</w:t>
            </w:r>
          </w:p>
        </w:tc>
      </w:tr>
      <w:tr w:rsidR="001476DD" w:rsidRPr="00AB1559">
        <w:trPr>
          <w:trHeight w:val="347"/>
        </w:trPr>
        <w:tc>
          <w:tcPr>
            <w:tcW w:w="3684" w:type="dxa"/>
          </w:tcPr>
          <w:p w:rsidR="001476DD" w:rsidRPr="00AB1559" w:rsidRDefault="00BD74A9">
            <w:pPr>
              <w:pStyle w:val="TableParagraph"/>
              <w:spacing w:before="54"/>
              <w:ind w:left="54"/>
              <w:rPr>
                <w:sz w:val="20"/>
                <w:lang w:val="sk-SK"/>
              </w:rPr>
            </w:pPr>
            <w:r w:rsidRPr="00AB1559">
              <w:rPr>
                <w:sz w:val="20"/>
                <w:lang w:val="sk-SK"/>
              </w:rPr>
              <w:t>Voda v</w:t>
            </w:r>
            <w:r w:rsidR="00BC4B1F">
              <w:rPr>
                <w:sz w:val="20"/>
                <w:lang w:val="sk-SK"/>
              </w:rPr>
              <w:t> </w:t>
            </w:r>
            <w:r w:rsidRPr="00AB1559">
              <w:rPr>
                <w:sz w:val="20"/>
                <w:lang w:val="sk-SK"/>
              </w:rPr>
              <w:t>bazéne</w:t>
            </w:r>
            <w:r w:rsidR="00BC4B1F">
              <w:rPr>
                <w:sz w:val="20"/>
                <w:lang w:val="sk-SK"/>
              </w:rPr>
              <w:t xml:space="preserve">, </w:t>
            </w:r>
            <w:proofErr w:type="spellStart"/>
            <w:r w:rsidR="00BC4B1F">
              <w:rPr>
                <w:sz w:val="20"/>
                <w:lang w:val="sk-SK"/>
              </w:rPr>
              <w:t>vírivke</w:t>
            </w:r>
            <w:proofErr w:type="spellEnd"/>
            <w:r w:rsidR="00BC4B1F">
              <w:rPr>
                <w:sz w:val="20"/>
                <w:lang w:val="sk-SK"/>
              </w:rPr>
              <w:t xml:space="preserve"> </w:t>
            </w:r>
            <w:r w:rsidRPr="00AB1559">
              <w:rPr>
                <w:sz w:val="20"/>
                <w:lang w:val="sk-SK"/>
              </w:rPr>
              <w:t xml:space="preserve"> a v jazierku</w:t>
            </w:r>
          </w:p>
        </w:tc>
        <w:tc>
          <w:tcPr>
            <w:tcW w:w="5388" w:type="dxa"/>
          </w:tcPr>
          <w:p w:rsidR="001476DD" w:rsidRPr="00AB1559" w:rsidRDefault="00F9352E">
            <w:pPr>
              <w:pStyle w:val="TableParagraph"/>
              <w:spacing w:before="53"/>
              <w:ind w:left="56"/>
              <w:rPr>
                <w:sz w:val="21"/>
                <w:lang w:val="sk-SK"/>
              </w:rPr>
            </w:pPr>
            <w:r w:rsidRPr="00AB1559">
              <w:rPr>
                <w:sz w:val="21"/>
                <w:lang w:val="sk-SK"/>
              </w:rPr>
              <w:t>5,0 ml/m³</w:t>
            </w:r>
          </w:p>
        </w:tc>
      </w:tr>
      <w:tr w:rsidR="001476DD" w:rsidRPr="00AB1559">
        <w:trPr>
          <w:trHeight w:val="348"/>
        </w:trPr>
        <w:tc>
          <w:tcPr>
            <w:tcW w:w="3684" w:type="dxa"/>
          </w:tcPr>
          <w:p w:rsidR="001476DD" w:rsidRPr="00AB1559" w:rsidRDefault="00BD74A9">
            <w:pPr>
              <w:pStyle w:val="TableParagraph"/>
              <w:spacing w:before="54"/>
              <w:ind w:left="54"/>
              <w:rPr>
                <w:sz w:val="20"/>
                <w:lang w:val="sk-SK"/>
              </w:rPr>
            </w:pPr>
            <w:r w:rsidRPr="00AB1559">
              <w:rPr>
                <w:sz w:val="20"/>
                <w:lang w:val="sk-SK"/>
              </w:rPr>
              <w:t>Potrubia a kontajnery</w:t>
            </w:r>
          </w:p>
        </w:tc>
        <w:tc>
          <w:tcPr>
            <w:tcW w:w="5388" w:type="dxa"/>
          </w:tcPr>
          <w:p w:rsidR="001476DD" w:rsidRPr="00AB1559" w:rsidRDefault="00F9352E">
            <w:pPr>
              <w:pStyle w:val="TableParagraph"/>
              <w:spacing w:before="53"/>
              <w:ind w:left="56"/>
              <w:rPr>
                <w:sz w:val="20"/>
                <w:lang w:val="sk-SK"/>
              </w:rPr>
            </w:pPr>
            <w:r w:rsidRPr="00AB1559">
              <w:rPr>
                <w:sz w:val="21"/>
                <w:lang w:val="sk-SK"/>
              </w:rPr>
              <w:t xml:space="preserve">200 </w:t>
            </w:r>
            <w:r w:rsidRPr="00AB1559">
              <w:rPr>
                <w:sz w:val="20"/>
                <w:lang w:val="sk-SK"/>
              </w:rPr>
              <w:t>ml/m³</w:t>
            </w:r>
          </w:p>
        </w:tc>
      </w:tr>
      <w:tr w:rsidR="001476DD" w:rsidRPr="00AB1559">
        <w:trPr>
          <w:trHeight w:val="347"/>
        </w:trPr>
        <w:tc>
          <w:tcPr>
            <w:tcW w:w="3684" w:type="dxa"/>
          </w:tcPr>
          <w:p w:rsidR="001476DD" w:rsidRPr="00AB1559" w:rsidRDefault="00BD74A9">
            <w:pPr>
              <w:pStyle w:val="TableParagraph"/>
              <w:spacing w:before="54"/>
              <w:ind w:left="54"/>
              <w:rPr>
                <w:sz w:val="20"/>
                <w:lang w:val="sk-SK"/>
              </w:rPr>
            </w:pPr>
            <w:r w:rsidRPr="00AB1559">
              <w:rPr>
                <w:sz w:val="20"/>
                <w:lang w:val="sk-SK"/>
              </w:rPr>
              <w:t>Povrch filtra na čistenie filtra</w:t>
            </w:r>
          </w:p>
        </w:tc>
        <w:tc>
          <w:tcPr>
            <w:tcW w:w="5388" w:type="dxa"/>
          </w:tcPr>
          <w:p w:rsidR="001476DD" w:rsidRPr="00AB1559" w:rsidRDefault="00F9352E">
            <w:pPr>
              <w:pStyle w:val="TableParagraph"/>
              <w:spacing w:before="53"/>
              <w:ind w:left="56"/>
              <w:rPr>
                <w:sz w:val="21"/>
                <w:lang w:val="sk-SK"/>
              </w:rPr>
            </w:pPr>
            <w:r w:rsidRPr="00AB1559">
              <w:rPr>
                <w:sz w:val="21"/>
                <w:lang w:val="sk-SK"/>
              </w:rPr>
              <w:t>2,0 l/m²</w:t>
            </w:r>
          </w:p>
        </w:tc>
      </w:tr>
      <w:tr w:rsidR="001476DD" w:rsidRPr="00AB1559">
        <w:trPr>
          <w:trHeight w:val="347"/>
        </w:trPr>
        <w:tc>
          <w:tcPr>
            <w:tcW w:w="3684" w:type="dxa"/>
          </w:tcPr>
          <w:p w:rsidR="001476DD" w:rsidRPr="00AB1559" w:rsidRDefault="00BD74A9">
            <w:pPr>
              <w:pStyle w:val="TableParagraph"/>
              <w:spacing w:before="54"/>
              <w:ind w:left="54"/>
              <w:rPr>
                <w:sz w:val="20"/>
                <w:lang w:val="sk-SK"/>
              </w:rPr>
            </w:pPr>
            <w:r w:rsidRPr="00AB1559">
              <w:rPr>
                <w:sz w:val="20"/>
                <w:lang w:val="sk-SK"/>
              </w:rPr>
              <w:t>Šoková dezinfekcia bazénového filtra</w:t>
            </w:r>
          </w:p>
        </w:tc>
        <w:tc>
          <w:tcPr>
            <w:tcW w:w="5388" w:type="dxa"/>
          </w:tcPr>
          <w:p w:rsidR="001476DD" w:rsidRPr="00AB1559" w:rsidRDefault="00B904D3">
            <w:pPr>
              <w:pStyle w:val="TableParagraph"/>
              <w:spacing w:before="53"/>
              <w:ind w:left="56"/>
              <w:rPr>
                <w:sz w:val="21"/>
                <w:lang w:val="sk-SK"/>
              </w:rPr>
            </w:pPr>
            <w:r w:rsidRPr="00AB1559">
              <w:rPr>
                <w:sz w:val="21"/>
                <w:lang w:val="sk-SK"/>
              </w:rPr>
              <w:t>5 l/</w:t>
            </w:r>
            <w:r w:rsidR="00F9352E" w:rsidRPr="00AB1559">
              <w:rPr>
                <w:sz w:val="21"/>
                <w:lang w:val="sk-SK"/>
              </w:rPr>
              <w:t xml:space="preserve">m³ </w:t>
            </w:r>
            <w:r w:rsidRPr="00AB1559">
              <w:rPr>
                <w:sz w:val="21"/>
                <w:lang w:val="sk-SK"/>
              </w:rPr>
              <w:t>vody</w:t>
            </w:r>
          </w:p>
        </w:tc>
      </w:tr>
    </w:tbl>
    <w:p w:rsidR="001476DD" w:rsidRPr="00AB1559" w:rsidRDefault="00B904D3">
      <w:pPr>
        <w:ind w:left="240"/>
        <w:rPr>
          <w:sz w:val="20"/>
          <w:lang w:val="sk-SK"/>
        </w:rPr>
      </w:pPr>
      <w:r w:rsidRPr="00AB1559">
        <w:rPr>
          <w:sz w:val="20"/>
          <w:lang w:val="sk-SK"/>
        </w:rPr>
        <w:t>Informačné pokyny. Skutočná dávka závisí od stupňa kontaminácie</w:t>
      </w:r>
      <w:r w:rsidR="00F9352E" w:rsidRPr="00AB1559">
        <w:rPr>
          <w:sz w:val="20"/>
          <w:lang w:val="sk-SK"/>
        </w:rPr>
        <w:t>.</w:t>
      </w:r>
    </w:p>
    <w:p w:rsidR="00B904D3" w:rsidRPr="00AB1559" w:rsidRDefault="00B904D3">
      <w:pPr>
        <w:ind w:left="240"/>
        <w:rPr>
          <w:sz w:val="20"/>
          <w:lang w:val="sk-SK"/>
        </w:rPr>
      </w:pPr>
    </w:p>
    <w:p w:rsidR="001476DD" w:rsidRPr="00AB1559" w:rsidRDefault="00B904D3">
      <w:pPr>
        <w:pStyle w:val="Zkladntext"/>
        <w:ind w:left="240"/>
        <w:rPr>
          <w:lang w:val="sk-SK"/>
        </w:rPr>
      </w:pPr>
      <w:r w:rsidRPr="00AB1559">
        <w:rPr>
          <w:szCs w:val="22"/>
          <w:lang w:val="sk-SK"/>
        </w:rPr>
        <w:t xml:space="preserve">Koncentráciu oxidov chlóru KYROL TC je možné rýchlo, jednoducho a spoľahlivo určiť ako oxid </w:t>
      </w:r>
      <w:proofErr w:type="spellStart"/>
      <w:r w:rsidRPr="00AB1559">
        <w:rPr>
          <w:szCs w:val="22"/>
          <w:lang w:val="sk-SK"/>
        </w:rPr>
        <w:t>chloričitý</w:t>
      </w:r>
      <w:proofErr w:type="spellEnd"/>
      <w:r w:rsidRPr="00AB1559">
        <w:rPr>
          <w:szCs w:val="22"/>
          <w:lang w:val="sk-SK"/>
        </w:rPr>
        <w:t xml:space="preserve"> pomocou testovacích prúžkov </w:t>
      </w:r>
      <w:proofErr w:type="spellStart"/>
      <w:r w:rsidRPr="00AB1559">
        <w:rPr>
          <w:szCs w:val="22"/>
          <w:lang w:val="sk-SK"/>
        </w:rPr>
        <w:t>Kyro</w:t>
      </w:r>
      <w:proofErr w:type="spellEnd"/>
      <w:r w:rsidRPr="00AB1559">
        <w:rPr>
          <w:szCs w:val="22"/>
          <w:lang w:val="sk-SK"/>
        </w:rPr>
        <w:t>.</w:t>
      </w:r>
    </w:p>
    <w:p w:rsidR="001476DD" w:rsidRPr="00AB1559" w:rsidRDefault="001476DD">
      <w:pPr>
        <w:rPr>
          <w:lang w:val="sk-SK"/>
        </w:rPr>
        <w:sectPr w:rsidR="001476DD" w:rsidRPr="00AB1559">
          <w:headerReference w:type="default" r:id="rId7"/>
          <w:footerReference w:type="default" r:id="rId8"/>
          <w:type w:val="continuous"/>
          <w:pgSz w:w="11910" w:h="16840"/>
          <w:pgMar w:top="2120" w:right="980" w:bottom="1960" w:left="1180" w:header="640" w:footer="1762" w:gutter="0"/>
          <w:pgNumType w:start="1"/>
          <w:cols w:space="708"/>
        </w:sectPr>
      </w:pPr>
    </w:p>
    <w:p w:rsidR="001476DD" w:rsidRPr="00AB1559" w:rsidRDefault="001476DD">
      <w:pPr>
        <w:pStyle w:val="Zkladntext"/>
        <w:rPr>
          <w:sz w:val="20"/>
          <w:lang w:val="sk-SK"/>
        </w:rPr>
      </w:pPr>
    </w:p>
    <w:p w:rsidR="001476DD" w:rsidRPr="00AB1559" w:rsidRDefault="001476DD">
      <w:pPr>
        <w:pStyle w:val="Zkladntext"/>
        <w:spacing w:before="10"/>
        <w:rPr>
          <w:sz w:val="28"/>
          <w:lang w:val="sk-SK"/>
        </w:rPr>
      </w:pPr>
    </w:p>
    <w:p w:rsidR="00313290" w:rsidRPr="00AB1559" w:rsidRDefault="00313290" w:rsidP="00313290">
      <w:pPr>
        <w:pStyle w:val="Zkladntext"/>
        <w:ind w:left="240" w:right="365"/>
        <w:rPr>
          <w:b/>
          <w:bCs/>
          <w:lang w:val="sk-SK"/>
        </w:rPr>
      </w:pPr>
      <w:r w:rsidRPr="00AB1559">
        <w:rPr>
          <w:b/>
          <w:bCs/>
          <w:lang w:val="sk-SK"/>
        </w:rPr>
        <w:t>Skladovanie</w:t>
      </w:r>
    </w:p>
    <w:p w:rsidR="00313290" w:rsidRPr="00AB1559" w:rsidRDefault="00313290" w:rsidP="00313290">
      <w:pPr>
        <w:pStyle w:val="Zkladntext"/>
        <w:ind w:left="240" w:right="365"/>
        <w:rPr>
          <w:bCs/>
          <w:lang w:val="sk-SK"/>
        </w:rPr>
      </w:pPr>
      <w:r w:rsidRPr="00AB1559">
        <w:rPr>
          <w:bCs/>
          <w:lang w:val="sk-SK"/>
        </w:rPr>
        <w:t>Vďaka opätovne uzatvárateľnej nádobe sa KYROL TC ľahko skladuje. KYROL TC možno skladovať až 18 mesiacov.</w:t>
      </w:r>
    </w:p>
    <w:p w:rsidR="001476DD" w:rsidRPr="00AB1559" w:rsidRDefault="00313290" w:rsidP="00313290">
      <w:pPr>
        <w:pStyle w:val="Zkladntext"/>
        <w:ind w:left="240" w:right="365"/>
        <w:rPr>
          <w:lang w:val="sk-SK"/>
        </w:rPr>
      </w:pPr>
      <w:r w:rsidRPr="00AB1559">
        <w:rPr>
          <w:bCs/>
          <w:lang w:val="sk-SK"/>
        </w:rPr>
        <w:t>Chráňte KYROL TC pred teplom a priamym slnečným žiarením. Skladujte na chladnom a tmavom mieste.</w:t>
      </w:r>
    </w:p>
    <w:p w:rsidR="001476DD" w:rsidRPr="00AB1559" w:rsidRDefault="001476DD">
      <w:pPr>
        <w:pStyle w:val="Zkladntext"/>
        <w:rPr>
          <w:sz w:val="26"/>
          <w:lang w:val="sk-SK"/>
        </w:rPr>
      </w:pPr>
    </w:p>
    <w:p w:rsidR="001476DD" w:rsidRPr="00AB1559" w:rsidRDefault="001476DD">
      <w:pPr>
        <w:pStyle w:val="Zkladntext"/>
        <w:rPr>
          <w:sz w:val="22"/>
          <w:lang w:val="sk-SK"/>
        </w:rPr>
      </w:pPr>
    </w:p>
    <w:p w:rsidR="00313290" w:rsidRPr="00AB1559" w:rsidRDefault="00313290" w:rsidP="00313290">
      <w:pPr>
        <w:pStyle w:val="Zkladntext"/>
        <w:ind w:left="240" w:right="365"/>
        <w:rPr>
          <w:b/>
          <w:bCs/>
          <w:lang w:val="sk-SK"/>
        </w:rPr>
      </w:pPr>
      <w:r w:rsidRPr="00AB1559">
        <w:rPr>
          <w:b/>
          <w:bCs/>
          <w:lang w:val="sk-SK"/>
        </w:rPr>
        <w:t>Priebežná dezinfekcia</w:t>
      </w:r>
    </w:p>
    <w:p w:rsidR="001476DD" w:rsidRPr="00AB1559" w:rsidRDefault="00313290" w:rsidP="00313290">
      <w:pPr>
        <w:pStyle w:val="Zkladntext"/>
        <w:ind w:left="240" w:right="365"/>
        <w:rPr>
          <w:lang w:val="sk-SK"/>
        </w:rPr>
      </w:pPr>
      <w:r w:rsidRPr="00AB1559">
        <w:rPr>
          <w:bCs/>
          <w:lang w:val="sk-SK"/>
        </w:rPr>
        <w:t>Pridajte roztok KYROL TC do systému v odporúčanom množstve. Ak je to možné, zabezpečte dostatočné premiešanie</w:t>
      </w:r>
      <w:r w:rsidR="00F9352E" w:rsidRPr="00AB1559">
        <w:rPr>
          <w:lang w:val="sk-SK"/>
        </w:rPr>
        <w:t>.</w:t>
      </w:r>
    </w:p>
    <w:p w:rsidR="001476DD" w:rsidRPr="00AB1559" w:rsidRDefault="001476DD">
      <w:pPr>
        <w:pStyle w:val="Zkladntext"/>
        <w:rPr>
          <w:lang w:val="sk-SK"/>
        </w:rPr>
      </w:pPr>
    </w:p>
    <w:p w:rsidR="001476DD" w:rsidRPr="00AB1559" w:rsidRDefault="00313290">
      <w:pPr>
        <w:pStyle w:val="Zkladntext"/>
        <w:ind w:left="240" w:right="365"/>
        <w:rPr>
          <w:lang w:val="sk-SK"/>
        </w:rPr>
      </w:pPr>
      <w:r w:rsidRPr="00AB1559">
        <w:rPr>
          <w:lang w:val="sk-SK"/>
        </w:rPr>
        <w:t>Ak už v systéme nie je možné zistiť žiadny KYROL TC, zopakujte pridávanie</w:t>
      </w:r>
      <w:r w:rsidR="00F9352E" w:rsidRPr="00AB1559">
        <w:rPr>
          <w:lang w:val="sk-SK"/>
        </w:rPr>
        <w:t>.</w:t>
      </w:r>
    </w:p>
    <w:p w:rsidR="001476DD" w:rsidRPr="00AB1559" w:rsidRDefault="001476DD">
      <w:pPr>
        <w:pStyle w:val="Zkladntext"/>
        <w:rPr>
          <w:sz w:val="26"/>
          <w:lang w:val="sk-SK"/>
        </w:rPr>
      </w:pPr>
    </w:p>
    <w:p w:rsidR="001476DD" w:rsidRPr="00AB1559" w:rsidRDefault="001476DD">
      <w:pPr>
        <w:pStyle w:val="Zkladntext"/>
        <w:rPr>
          <w:sz w:val="22"/>
          <w:lang w:val="sk-SK"/>
        </w:rPr>
      </w:pPr>
    </w:p>
    <w:p w:rsidR="00313290" w:rsidRPr="00AB1559" w:rsidRDefault="00313290" w:rsidP="00313290">
      <w:pPr>
        <w:pStyle w:val="Zkladntext"/>
        <w:ind w:left="240" w:right="578"/>
        <w:rPr>
          <w:b/>
          <w:bCs/>
          <w:lang w:val="sk-SK"/>
        </w:rPr>
      </w:pPr>
      <w:r w:rsidRPr="00AB1559">
        <w:rPr>
          <w:b/>
          <w:bCs/>
          <w:lang w:val="sk-SK"/>
        </w:rPr>
        <w:t>Šoková dezinfekcia</w:t>
      </w:r>
    </w:p>
    <w:p w:rsidR="001476DD" w:rsidRPr="00AB1559" w:rsidRDefault="00313290" w:rsidP="00313290">
      <w:pPr>
        <w:pStyle w:val="Zkladntext"/>
        <w:ind w:left="240" w:right="578"/>
        <w:rPr>
          <w:lang w:val="sk-SK"/>
        </w:rPr>
      </w:pPr>
      <w:r w:rsidRPr="00AB1559">
        <w:rPr>
          <w:bCs/>
          <w:lang w:val="sk-SK"/>
        </w:rPr>
        <w:t>Doba pôsobenia šokovej dezinfekcie by mala byť aspoň 1 - 3 hodiny. Šoková dezinfekcia je dokončená, keď je možné v systéme zistiť zvyšky KYROL TC. Potom sa systém prepláchne vodou.</w:t>
      </w:r>
    </w:p>
    <w:p w:rsidR="001476DD" w:rsidRPr="00AB1559" w:rsidRDefault="001476DD">
      <w:pPr>
        <w:pStyle w:val="Zkladntext"/>
        <w:rPr>
          <w:lang w:val="sk-SK"/>
        </w:rPr>
      </w:pPr>
    </w:p>
    <w:p w:rsidR="001476DD" w:rsidRPr="00AB1559" w:rsidRDefault="00313290">
      <w:pPr>
        <w:pStyle w:val="Zkladntext"/>
        <w:ind w:left="240"/>
        <w:rPr>
          <w:lang w:val="sk-SK"/>
        </w:rPr>
      </w:pPr>
      <w:r w:rsidRPr="00AB1559">
        <w:rPr>
          <w:lang w:val="sk-SK"/>
        </w:rPr>
        <w:t>V prípade silnej kontaminácie je potrebné proces dezinfekcie zopakovať</w:t>
      </w:r>
      <w:r w:rsidR="00F9352E" w:rsidRPr="00AB1559">
        <w:rPr>
          <w:lang w:val="sk-SK"/>
        </w:rPr>
        <w:t>.</w:t>
      </w:r>
    </w:p>
    <w:p w:rsidR="001476DD" w:rsidRPr="00AB1559" w:rsidRDefault="001476DD">
      <w:pPr>
        <w:pStyle w:val="Zkladntext"/>
        <w:rPr>
          <w:sz w:val="26"/>
          <w:lang w:val="sk-SK"/>
        </w:rPr>
      </w:pPr>
    </w:p>
    <w:p w:rsidR="001476DD" w:rsidRPr="00AB1559" w:rsidRDefault="001476DD">
      <w:pPr>
        <w:pStyle w:val="Zkladntext"/>
        <w:rPr>
          <w:sz w:val="26"/>
          <w:lang w:val="sk-SK"/>
        </w:rPr>
      </w:pPr>
    </w:p>
    <w:p w:rsidR="001476DD" w:rsidRPr="00AB1559" w:rsidRDefault="001476DD">
      <w:pPr>
        <w:pStyle w:val="Zkladntext"/>
        <w:rPr>
          <w:sz w:val="26"/>
          <w:lang w:val="sk-SK"/>
        </w:rPr>
      </w:pPr>
    </w:p>
    <w:p w:rsidR="00590920" w:rsidRPr="00AB1559" w:rsidRDefault="00590920" w:rsidP="00590920">
      <w:pPr>
        <w:pStyle w:val="Zkladntext"/>
        <w:ind w:left="240" w:right="459"/>
        <w:jc w:val="both"/>
        <w:rPr>
          <w:b/>
          <w:szCs w:val="22"/>
          <w:u w:val="single"/>
          <w:lang w:val="sk-SK"/>
        </w:rPr>
      </w:pPr>
      <w:r w:rsidRPr="00AB1559">
        <w:rPr>
          <w:b/>
          <w:szCs w:val="22"/>
          <w:u w:val="single"/>
          <w:lang w:val="sk-SK"/>
        </w:rPr>
        <w:t xml:space="preserve">Počiatočná dezinfekcia prípravkom </w:t>
      </w:r>
      <w:proofErr w:type="spellStart"/>
      <w:r w:rsidRPr="00AB1559">
        <w:rPr>
          <w:b/>
          <w:szCs w:val="22"/>
          <w:u w:val="single"/>
          <w:lang w:val="sk-SK"/>
        </w:rPr>
        <w:t>Kyrol</w:t>
      </w:r>
      <w:proofErr w:type="spellEnd"/>
      <w:r w:rsidRPr="00AB1559">
        <w:rPr>
          <w:b/>
          <w:szCs w:val="22"/>
          <w:u w:val="single"/>
          <w:lang w:val="sk-SK"/>
        </w:rPr>
        <w:t xml:space="preserve"> TC</w:t>
      </w:r>
    </w:p>
    <w:p w:rsidR="001476DD" w:rsidRPr="00AB1559" w:rsidRDefault="00590920" w:rsidP="00590920">
      <w:pPr>
        <w:pStyle w:val="Zkladntext"/>
        <w:ind w:left="240" w:right="459"/>
        <w:jc w:val="both"/>
        <w:rPr>
          <w:lang w:val="sk-SK"/>
        </w:rPr>
      </w:pPr>
      <w:r w:rsidRPr="00AB1559">
        <w:rPr>
          <w:szCs w:val="22"/>
          <w:lang w:val="sk-SK"/>
        </w:rPr>
        <w:t xml:space="preserve">V niektorých prípadoch sa môže počet zárodkov zvýšiť počas počiatočnej dezinfekcie pomocou </w:t>
      </w:r>
      <w:proofErr w:type="spellStart"/>
      <w:r w:rsidRPr="00AB1559">
        <w:rPr>
          <w:szCs w:val="22"/>
          <w:lang w:val="sk-SK"/>
        </w:rPr>
        <w:t>Kyrol</w:t>
      </w:r>
      <w:proofErr w:type="spellEnd"/>
      <w:r w:rsidRPr="00AB1559">
        <w:rPr>
          <w:szCs w:val="22"/>
          <w:lang w:val="sk-SK"/>
        </w:rPr>
        <w:t xml:space="preserve"> TC, pretože </w:t>
      </w:r>
      <w:proofErr w:type="spellStart"/>
      <w:r w:rsidRPr="00AB1559">
        <w:rPr>
          <w:szCs w:val="22"/>
          <w:lang w:val="sk-SK"/>
        </w:rPr>
        <w:t>Kyrol</w:t>
      </w:r>
      <w:proofErr w:type="spellEnd"/>
      <w:r w:rsidRPr="00AB1559">
        <w:rPr>
          <w:szCs w:val="22"/>
          <w:lang w:val="sk-SK"/>
        </w:rPr>
        <w:t xml:space="preserve"> TC odstraňuje </w:t>
      </w:r>
      <w:proofErr w:type="spellStart"/>
      <w:r w:rsidRPr="00AB1559">
        <w:rPr>
          <w:szCs w:val="22"/>
          <w:lang w:val="sk-SK"/>
        </w:rPr>
        <w:t>biofilmy</w:t>
      </w:r>
      <w:proofErr w:type="spellEnd"/>
      <w:r w:rsidRPr="00AB1559">
        <w:rPr>
          <w:szCs w:val="22"/>
          <w:lang w:val="sk-SK"/>
        </w:rPr>
        <w:t xml:space="preserve">. Tento efekt zmizne, ak sa </w:t>
      </w:r>
      <w:proofErr w:type="spellStart"/>
      <w:r w:rsidRPr="00AB1559">
        <w:rPr>
          <w:szCs w:val="22"/>
          <w:lang w:val="sk-SK"/>
        </w:rPr>
        <w:t>Kyrol</w:t>
      </w:r>
      <w:proofErr w:type="spellEnd"/>
      <w:r w:rsidRPr="00AB1559">
        <w:rPr>
          <w:szCs w:val="22"/>
          <w:lang w:val="sk-SK"/>
        </w:rPr>
        <w:t xml:space="preserve"> TC použije ďalej, pretože </w:t>
      </w:r>
      <w:proofErr w:type="spellStart"/>
      <w:r w:rsidRPr="00AB1559">
        <w:rPr>
          <w:szCs w:val="22"/>
          <w:lang w:val="sk-SK"/>
        </w:rPr>
        <w:t>biofilm</w:t>
      </w:r>
      <w:proofErr w:type="spellEnd"/>
      <w:r w:rsidRPr="00AB1559">
        <w:rPr>
          <w:szCs w:val="22"/>
          <w:lang w:val="sk-SK"/>
        </w:rPr>
        <w:t xml:space="preserve"> už nie je prítomný.</w:t>
      </w:r>
    </w:p>
    <w:p w:rsidR="001476DD" w:rsidRPr="00AB1559" w:rsidRDefault="001476DD">
      <w:pPr>
        <w:pStyle w:val="Zkladntext"/>
        <w:rPr>
          <w:sz w:val="26"/>
          <w:lang w:val="sk-SK"/>
        </w:rPr>
      </w:pPr>
    </w:p>
    <w:p w:rsidR="001476DD" w:rsidRPr="00AB1559" w:rsidRDefault="001476DD">
      <w:pPr>
        <w:pStyle w:val="Zkladntext"/>
        <w:rPr>
          <w:sz w:val="22"/>
          <w:lang w:val="sk-SK"/>
        </w:rPr>
      </w:pPr>
    </w:p>
    <w:p w:rsidR="005E00BA" w:rsidRPr="00AB1559" w:rsidRDefault="005E00BA" w:rsidP="005E00BA">
      <w:pPr>
        <w:pStyle w:val="Zkladntext"/>
        <w:ind w:left="240" w:right="365"/>
        <w:rPr>
          <w:b/>
          <w:szCs w:val="22"/>
          <w:u w:val="single"/>
          <w:lang w:val="sk-SK"/>
        </w:rPr>
      </w:pPr>
      <w:r w:rsidRPr="00AB1559">
        <w:rPr>
          <w:b/>
          <w:szCs w:val="22"/>
          <w:u w:val="single"/>
          <w:lang w:val="sk-SK"/>
        </w:rPr>
        <w:t>Dispozícia:</w:t>
      </w:r>
    </w:p>
    <w:p w:rsidR="001476DD" w:rsidRPr="00AB1559" w:rsidRDefault="005E00BA" w:rsidP="005E00BA">
      <w:pPr>
        <w:pStyle w:val="Zkladntext"/>
        <w:ind w:left="240" w:right="365"/>
        <w:rPr>
          <w:lang w:val="sk-SK"/>
        </w:rPr>
        <w:sectPr w:rsidR="001476DD" w:rsidRPr="00AB1559">
          <w:pgSz w:w="11910" w:h="16840"/>
          <w:pgMar w:top="2120" w:right="980" w:bottom="1960" w:left="1180" w:header="640" w:footer="1762" w:gutter="0"/>
          <w:cols w:space="708"/>
        </w:sectPr>
      </w:pPr>
      <w:proofErr w:type="spellStart"/>
      <w:r w:rsidRPr="00AB1559">
        <w:rPr>
          <w:szCs w:val="22"/>
          <w:lang w:val="sk-SK"/>
        </w:rPr>
        <w:t>Kyrol</w:t>
      </w:r>
      <w:proofErr w:type="spellEnd"/>
      <w:r w:rsidRPr="00AB1559">
        <w:rPr>
          <w:szCs w:val="22"/>
          <w:lang w:val="sk-SK"/>
        </w:rPr>
        <w:t xml:space="preserve"> TC je možné neutralizovať pridaním 50 - 70 g siričitanu sodného alebo </w:t>
      </w:r>
      <w:proofErr w:type="spellStart"/>
      <w:r w:rsidRPr="00AB1559">
        <w:rPr>
          <w:szCs w:val="22"/>
          <w:lang w:val="sk-SK"/>
        </w:rPr>
        <w:t>Kyrozidu</w:t>
      </w:r>
      <w:proofErr w:type="spellEnd"/>
      <w:r w:rsidRPr="00AB1559">
        <w:rPr>
          <w:szCs w:val="22"/>
          <w:lang w:val="sk-SK"/>
        </w:rPr>
        <w:t xml:space="preserve"> EX / liter </w:t>
      </w:r>
      <w:proofErr w:type="spellStart"/>
      <w:r w:rsidRPr="00AB1559">
        <w:rPr>
          <w:szCs w:val="22"/>
          <w:lang w:val="sk-SK"/>
        </w:rPr>
        <w:t>Kyrol</w:t>
      </w:r>
      <w:proofErr w:type="spellEnd"/>
      <w:r w:rsidRPr="00AB1559">
        <w:rPr>
          <w:szCs w:val="22"/>
          <w:lang w:val="sk-SK"/>
        </w:rPr>
        <w:t xml:space="preserve"> TC.</w:t>
      </w:r>
    </w:p>
    <w:p w:rsidR="001476DD" w:rsidRPr="00AB1559" w:rsidRDefault="001476DD">
      <w:pPr>
        <w:pStyle w:val="Zkladntext"/>
        <w:spacing w:before="10"/>
        <w:rPr>
          <w:lang w:val="sk-SK"/>
        </w:rPr>
      </w:pPr>
    </w:p>
    <w:p w:rsidR="001476DD" w:rsidRPr="00AB1559" w:rsidRDefault="00613D43">
      <w:pPr>
        <w:pStyle w:val="Zkladntext"/>
        <w:spacing w:before="10"/>
        <w:rPr>
          <w:b/>
          <w:bCs/>
          <w:lang w:val="sk-SK"/>
        </w:rPr>
      </w:pPr>
      <w:r w:rsidRPr="00AB1559">
        <w:rPr>
          <w:b/>
          <w:bCs/>
          <w:lang w:val="sk-SK"/>
        </w:rPr>
        <w:t>Údaje KYROL TC na prvý pohľad</w:t>
      </w:r>
    </w:p>
    <w:p w:rsidR="00613D43" w:rsidRPr="00AB1559" w:rsidRDefault="00613D43">
      <w:pPr>
        <w:pStyle w:val="Zkladntext"/>
        <w:spacing w:before="10"/>
        <w:rPr>
          <w:b/>
          <w:sz w:val="23"/>
          <w:lang w:val="sk-SK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4"/>
        <w:gridCol w:w="7024"/>
      </w:tblGrid>
      <w:tr w:rsidR="001476DD" w:rsidRPr="00AB1559">
        <w:trPr>
          <w:trHeight w:val="1617"/>
        </w:trPr>
        <w:tc>
          <w:tcPr>
            <w:tcW w:w="2484" w:type="dxa"/>
          </w:tcPr>
          <w:p w:rsidR="001476DD" w:rsidRPr="00AB1559" w:rsidRDefault="008F1FB5">
            <w:pPr>
              <w:pStyle w:val="TableParagraph"/>
              <w:spacing w:before="41"/>
              <w:ind w:left="110"/>
              <w:rPr>
                <w:sz w:val="21"/>
                <w:lang w:val="sk-SK"/>
              </w:rPr>
            </w:pPr>
            <w:r w:rsidRPr="00AB1559">
              <w:rPr>
                <w:sz w:val="21"/>
                <w:lang w:val="sk-SK"/>
              </w:rPr>
              <w:t>Spôsob účinku:</w:t>
            </w:r>
          </w:p>
        </w:tc>
        <w:tc>
          <w:tcPr>
            <w:tcW w:w="7024" w:type="dxa"/>
          </w:tcPr>
          <w:p w:rsidR="008F1FB5" w:rsidRPr="00AB1559" w:rsidRDefault="008F1FB5" w:rsidP="008F1FB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41" w:lineRule="exact"/>
              <w:rPr>
                <w:sz w:val="20"/>
                <w:lang w:val="sk-SK"/>
              </w:rPr>
            </w:pPr>
            <w:r w:rsidRPr="00AB1559">
              <w:rPr>
                <w:sz w:val="20"/>
                <w:lang w:val="sk-SK"/>
              </w:rPr>
              <w:t>Odstránenie zápachu</w:t>
            </w:r>
          </w:p>
          <w:p w:rsidR="008F1FB5" w:rsidRPr="00AB1559" w:rsidRDefault="008F1FB5" w:rsidP="008F1FB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41" w:lineRule="exact"/>
              <w:rPr>
                <w:sz w:val="20"/>
                <w:lang w:val="sk-SK"/>
              </w:rPr>
            </w:pPr>
            <w:r w:rsidRPr="00AB1559">
              <w:rPr>
                <w:sz w:val="20"/>
                <w:lang w:val="sk-SK"/>
              </w:rPr>
              <w:t>Zníženie COD/TOC/BOD</w:t>
            </w:r>
          </w:p>
          <w:p w:rsidR="008F1FB5" w:rsidRPr="00AB1559" w:rsidRDefault="008F1FB5" w:rsidP="008F1FB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41" w:lineRule="exact"/>
              <w:rPr>
                <w:sz w:val="20"/>
                <w:lang w:val="sk-SK"/>
              </w:rPr>
            </w:pPr>
            <w:r w:rsidRPr="00AB1559">
              <w:rPr>
                <w:sz w:val="20"/>
                <w:lang w:val="sk-SK"/>
              </w:rPr>
              <w:t>Odstránenie výkalov</w:t>
            </w:r>
          </w:p>
          <w:p w:rsidR="008F1FB5" w:rsidRPr="00AB1559" w:rsidRDefault="008F1FB5" w:rsidP="008F1FB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41" w:lineRule="exact"/>
              <w:rPr>
                <w:sz w:val="20"/>
                <w:lang w:val="sk-SK"/>
              </w:rPr>
            </w:pPr>
            <w:r w:rsidRPr="00AB1559">
              <w:rPr>
                <w:sz w:val="20"/>
                <w:lang w:val="sk-SK"/>
              </w:rPr>
              <w:t>Štiepenie tuku</w:t>
            </w:r>
          </w:p>
          <w:p w:rsidR="008F1FB5" w:rsidRPr="00AB1559" w:rsidRDefault="008F1FB5" w:rsidP="008F1FB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41" w:lineRule="exact"/>
              <w:rPr>
                <w:sz w:val="20"/>
                <w:lang w:val="sk-SK"/>
              </w:rPr>
            </w:pPr>
            <w:r w:rsidRPr="00AB1559">
              <w:rPr>
                <w:sz w:val="20"/>
                <w:lang w:val="sk-SK"/>
              </w:rPr>
              <w:t>Detoxikácia oxidáciou a hydrolýzou</w:t>
            </w:r>
          </w:p>
          <w:p w:rsidR="008F1FB5" w:rsidRPr="00AB1559" w:rsidRDefault="008F1FB5" w:rsidP="008F1FB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41" w:lineRule="exact"/>
              <w:rPr>
                <w:sz w:val="20"/>
                <w:lang w:val="sk-SK"/>
              </w:rPr>
            </w:pPr>
            <w:r w:rsidRPr="00AB1559">
              <w:rPr>
                <w:sz w:val="20"/>
                <w:lang w:val="sk-SK"/>
              </w:rPr>
              <w:t>Odsírenie</w:t>
            </w:r>
          </w:p>
          <w:p w:rsidR="001476DD" w:rsidRPr="00AB1559" w:rsidRDefault="008F1FB5" w:rsidP="008F1FB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02" w:lineRule="exact"/>
              <w:rPr>
                <w:sz w:val="20"/>
                <w:lang w:val="sk-SK"/>
              </w:rPr>
            </w:pPr>
            <w:r w:rsidRPr="00AB1559">
              <w:rPr>
                <w:sz w:val="20"/>
                <w:lang w:val="sk-SK"/>
              </w:rPr>
              <w:t xml:space="preserve">Zvýšenie </w:t>
            </w:r>
            <w:proofErr w:type="spellStart"/>
            <w:r w:rsidRPr="00AB1559">
              <w:rPr>
                <w:sz w:val="20"/>
                <w:lang w:val="sk-SK"/>
              </w:rPr>
              <w:t>redoxného</w:t>
            </w:r>
            <w:proofErr w:type="spellEnd"/>
            <w:r w:rsidRPr="00AB1559">
              <w:rPr>
                <w:sz w:val="20"/>
                <w:lang w:val="sk-SK"/>
              </w:rPr>
              <w:t xml:space="preserve"> potenciálu</w:t>
            </w:r>
          </w:p>
        </w:tc>
      </w:tr>
      <w:tr w:rsidR="001476DD" w:rsidRPr="00AB1559">
        <w:trPr>
          <w:trHeight w:val="3142"/>
        </w:trPr>
        <w:tc>
          <w:tcPr>
            <w:tcW w:w="2484" w:type="dxa"/>
          </w:tcPr>
          <w:p w:rsidR="001476DD" w:rsidRPr="00AB1559" w:rsidRDefault="008F1FB5">
            <w:pPr>
              <w:pStyle w:val="TableParagraph"/>
              <w:spacing w:before="39"/>
              <w:ind w:left="110"/>
              <w:rPr>
                <w:sz w:val="21"/>
                <w:lang w:val="sk-SK"/>
              </w:rPr>
            </w:pPr>
            <w:bookmarkStart w:id="1" w:name="Registriernummer"/>
            <w:bookmarkEnd w:id="1"/>
            <w:r w:rsidRPr="00AB1559">
              <w:rPr>
                <w:sz w:val="21"/>
                <w:lang w:val="sk-SK"/>
              </w:rPr>
              <w:t>Evidenčné číslo:</w:t>
            </w:r>
          </w:p>
        </w:tc>
        <w:tc>
          <w:tcPr>
            <w:tcW w:w="7024" w:type="dxa"/>
          </w:tcPr>
          <w:p w:rsidR="001476DD" w:rsidRPr="00AB1559" w:rsidRDefault="008F1FB5">
            <w:pPr>
              <w:pStyle w:val="TableParagraph"/>
              <w:spacing w:before="39"/>
              <w:ind w:left="110"/>
              <w:rPr>
                <w:sz w:val="21"/>
                <w:lang w:val="sk-SK"/>
              </w:rPr>
            </w:pPr>
            <w:bookmarkStart w:id="2" w:name="BAUA-Nr.:"/>
            <w:bookmarkEnd w:id="2"/>
            <w:proofErr w:type="spellStart"/>
            <w:r w:rsidRPr="00AB1559">
              <w:rPr>
                <w:sz w:val="21"/>
                <w:lang w:val="sk-SK"/>
              </w:rPr>
              <w:t>BAUA-číslo</w:t>
            </w:r>
            <w:proofErr w:type="spellEnd"/>
            <w:r w:rsidR="00F9352E" w:rsidRPr="00AB1559">
              <w:rPr>
                <w:sz w:val="21"/>
                <w:lang w:val="sk-SK"/>
              </w:rPr>
              <w:t>:</w:t>
            </w:r>
          </w:p>
          <w:p w:rsidR="008F1FB5" w:rsidRPr="00AB1559" w:rsidRDefault="008F1FB5" w:rsidP="008F1FB5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8" w:line="228" w:lineRule="auto"/>
              <w:ind w:right="175"/>
              <w:jc w:val="both"/>
              <w:rPr>
                <w:sz w:val="20"/>
                <w:lang w:val="sk-SK"/>
              </w:rPr>
            </w:pPr>
            <w:r w:rsidRPr="00AB1559">
              <w:rPr>
                <w:sz w:val="20"/>
                <w:lang w:val="sk-SK"/>
              </w:rPr>
              <w:t>N-60413 pre produkt typu 2 (dezinfekčné prostriedky pre domácnosť a verejné zdravie a iné biocídne produkty)</w:t>
            </w:r>
          </w:p>
          <w:p w:rsidR="008F1FB5" w:rsidRPr="00AB1559" w:rsidRDefault="008F1FB5" w:rsidP="008F1FB5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8" w:line="228" w:lineRule="auto"/>
              <w:ind w:right="175"/>
              <w:jc w:val="both"/>
              <w:rPr>
                <w:sz w:val="20"/>
                <w:lang w:val="sk-SK"/>
              </w:rPr>
            </w:pPr>
            <w:r w:rsidRPr="00AB1559">
              <w:rPr>
                <w:sz w:val="20"/>
                <w:lang w:val="sk-SK"/>
              </w:rPr>
              <w:t>N-60414 pre produkt typu 3 (biocídny prípravok pre veterinárnu hygienu)</w:t>
            </w:r>
          </w:p>
          <w:p w:rsidR="008F1FB5" w:rsidRPr="00AB1559" w:rsidRDefault="008F1FB5" w:rsidP="008F1FB5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8" w:line="228" w:lineRule="auto"/>
              <w:ind w:right="175"/>
              <w:jc w:val="both"/>
              <w:rPr>
                <w:sz w:val="20"/>
                <w:lang w:val="sk-SK"/>
              </w:rPr>
            </w:pPr>
            <w:r w:rsidRPr="00AB1559">
              <w:rPr>
                <w:sz w:val="20"/>
                <w:lang w:val="sk-SK"/>
              </w:rPr>
              <w:t>N-60415 pre produkt typu 4 (dezinfekčné prostriedky pre sektor potravín a krmív)</w:t>
            </w:r>
          </w:p>
          <w:p w:rsidR="008F1FB5" w:rsidRPr="00AB1559" w:rsidRDefault="008F1FB5" w:rsidP="008F1FB5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8" w:line="228" w:lineRule="auto"/>
              <w:ind w:right="175"/>
              <w:jc w:val="both"/>
              <w:rPr>
                <w:sz w:val="20"/>
                <w:lang w:val="sk-SK"/>
              </w:rPr>
            </w:pPr>
            <w:r w:rsidRPr="00AB1559">
              <w:rPr>
                <w:sz w:val="20"/>
                <w:lang w:val="sk-SK"/>
              </w:rPr>
              <w:t>N-60417 pre produkt typu 5 (produkty na dezinfekciu pitnej vody pre ľudí a zvieratá)</w:t>
            </w:r>
          </w:p>
          <w:p w:rsidR="008F1FB5" w:rsidRPr="00AB1559" w:rsidRDefault="008F1FB5" w:rsidP="008F1FB5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8" w:line="228" w:lineRule="auto"/>
              <w:ind w:right="175"/>
              <w:jc w:val="both"/>
              <w:rPr>
                <w:sz w:val="20"/>
                <w:lang w:val="sk-SK"/>
              </w:rPr>
            </w:pPr>
            <w:r w:rsidRPr="00AB1559">
              <w:rPr>
                <w:sz w:val="20"/>
                <w:lang w:val="sk-SK"/>
              </w:rPr>
              <w:t>N-60416 pre produkt typu 11 (ochranné kvapaliny v chladiacich a procesných systémoch)</w:t>
            </w:r>
          </w:p>
          <w:p w:rsidR="001476DD" w:rsidRPr="00AB1559" w:rsidRDefault="008F1FB5" w:rsidP="008F1FB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24" w:lineRule="exact"/>
              <w:rPr>
                <w:sz w:val="20"/>
                <w:lang w:val="sk-SK"/>
              </w:rPr>
            </w:pPr>
            <w:r w:rsidRPr="00AB1559">
              <w:rPr>
                <w:sz w:val="20"/>
                <w:lang w:val="sk-SK"/>
              </w:rPr>
              <w:t>N-54636 pre produkt typu 12 (</w:t>
            </w:r>
            <w:proofErr w:type="spellStart"/>
            <w:r w:rsidRPr="00AB1559">
              <w:rPr>
                <w:sz w:val="20"/>
                <w:lang w:val="sk-SK"/>
              </w:rPr>
              <w:t>slimicídy</w:t>
            </w:r>
            <w:proofErr w:type="spellEnd"/>
            <w:r w:rsidRPr="00AB1559">
              <w:rPr>
                <w:sz w:val="20"/>
                <w:lang w:val="sk-SK"/>
              </w:rPr>
              <w:t>)</w:t>
            </w:r>
          </w:p>
        </w:tc>
      </w:tr>
      <w:tr w:rsidR="001476DD" w:rsidRPr="00AB1559">
        <w:trPr>
          <w:trHeight w:val="301"/>
        </w:trPr>
        <w:tc>
          <w:tcPr>
            <w:tcW w:w="2484" w:type="dxa"/>
          </w:tcPr>
          <w:p w:rsidR="001476DD" w:rsidRPr="00AB1559" w:rsidRDefault="00F9352E">
            <w:pPr>
              <w:pStyle w:val="TableParagraph"/>
              <w:spacing w:before="19"/>
              <w:ind w:left="110"/>
              <w:rPr>
                <w:sz w:val="21"/>
                <w:lang w:val="sk-SK"/>
              </w:rPr>
            </w:pPr>
            <w:bookmarkStart w:id="3" w:name="BfR-Nummer:"/>
            <w:bookmarkEnd w:id="3"/>
            <w:proofErr w:type="spellStart"/>
            <w:r w:rsidRPr="00AB1559">
              <w:rPr>
                <w:sz w:val="21"/>
                <w:lang w:val="sk-SK"/>
              </w:rPr>
              <w:t>BfR-</w:t>
            </w:r>
            <w:r w:rsidR="008F1FB5" w:rsidRPr="00AB1559">
              <w:rPr>
                <w:sz w:val="21"/>
                <w:lang w:val="sk-SK"/>
              </w:rPr>
              <w:t>číslo</w:t>
            </w:r>
            <w:proofErr w:type="spellEnd"/>
            <w:r w:rsidR="008F1FB5" w:rsidRPr="00AB1559">
              <w:rPr>
                <w:sz w:val="21"/>
                <w:lang w:val="sk-SK"/>
              </w:rPr>
              <w:t>:</w:t>
            </w:r>
          </w:p>
        </w:tc>
        <w:tc>
          <w:tcPr>
            <w:tcW w:w="7024" w:type="dxa"/>
          </w:tcPr>
          <w:p w:rsidR="001476DD" w:rsidRPr="00AB1559" w:rsidRDefault="00F9352E">
            <w:pPr>
              <w:pStyle w:val="TableParagraph"/>
              <w:spacing w:before="19"/>
              <w:ind w:left="558"/>
              <w:rPr>
                <w:sz w:val="21"/>
                <w:lang w:val="sk-SK"/>
              </w:rPr>
            </w:pPr>
            <w:r w:rsidRPr="00AB1559">
              <w:rPr>
                <w:sz w:val="21"/>
                <w:lang w:val="sk-SK"/>
              </w:rPr>
              <w:t>2084333</w:t>
            </w:r>
          </w:p>
        </w:tc>
      </w:tr>
      <w:tr w:rsidR="001476DD" w:rsidRPr="00AB1559">
        <w:trPr>
          <w:trHeight w:val="332"/>
        </w:trPr>
        <w:tc>
          <w:tcPr>
            <w:tcW w:w="2484" w:type="dxa"/>
          </w:tcPr>
          <w:p w:rsidR="001476DD" w:rsidRPr="00AB1559" w:rsidRDefault="00F9352E">
            <w:pPr>
              <w:pStyle w:val="TableParagraph"/>
              <w:spacing w:before="39"/>
              <w:ind w:left="110"/>
              <w:rPr>
                <w:sz w:val="21"/>
                <w:lang w:val="sk-SK"/>
              </w:rPr>
            </w:pPr>
            <w:bookmarkStart w:id="4" w:name="UFI:"/>
            <w:bookmarkEnd w:id="4"/>
            <w:r w:rsidRPr="00AB1559">
              <w:rPr>
                <w:sz w:val="21"/>
                <w:lang w:val="sk-SK"/>
              </w:rPr>
              <w:t>UFI:</w:t>
            </w:r>
          </w:p>
        </w:tc>
        <w:tc>
          <w:tcPr>
            <w:tcW w:w="7024" w:type="dxa"/>
          </w:tcPr>
          <w:p w:rsidR="001476DD" w:rsidRPr="00AB1559" w:rsidRDefault="00F9352E">
            <w:pPr>
              <w:pStyle w:val="TableParagraph"/>
              <w:spacing w:before="39"/>
              <w:ind w:left="558"/>
              <w:rPr>
                <w:rFonts w:ascii="Liberation Sans"/>
                <w:lang w:val="sk-SK"/>
              </w:rPr>
            </w:pPr>
            <w:r w:rsidRPr="00AB1559">
              <w:rPr>
                <w:rFonts w:ascii="Liberation Sans"/>
                <w:lang w:val="sk-SK"/>
              </w:rPr>
              <w:t>H6J0-D0TK-W004-4JN1</w:t>
            </w:r>
          </w:p>
        </w:tc>
      </w:tr>
      <w:tr w:rsidR="001476DD" w:rsidRPr="00AB1559">
        <w:trPr>
          <w:trHeight w:val="806"/>
        </w:trPr>
        <w:tc>
          <w:tcPr>
            <w:tcW w:w="2484" w:type="dxa"/>
          </w:tcPr>
          <w:p w:rsidR="001476DD" w:rsidRPr="00AB1559" w:rsidRDefault="008F1FB5">
            <w:pPr>
              <w:pStyle w:val="TableParagraph"/>
              <w:spacing w:before="41"/>
              <w:ind w:left="110"/>
              <w:rPr>
                <w:sz w:val="21"/>
                <w:lang w:val="sk-SK"/>
              </w:rPr>
            </w:pPr>
            <w:r w:rsidRPr="00AB1559">
              <w:rPr>
                <w:sz w:val="21"/>
                <w:lang w:val="sk-SK"/>
              </w:rPr>
              <w:t>Vysoko účinný proti</w:t>
            </w:r>
            <w:r w:rsidR="00F9352E" w:rsidRPr="00AB1559">
              <w:rPr>
                <w:sz w:val="21"/>
                <w:lang w:val="sk-SK"/>
              </w:rPr>
              <w:t>:</w:t>
            </w:r>
          </w:p>
        </w:tc>
        <w:tc>
          <w:tcPr>
            <w:tcW w:w="7024" w:type="dxa"/>
          </w:tcPr>
          <w:p w:rsidR="001476DD" w:rsidRPr="00AB1559" w:rsidRDefault="008F1FB5">
            <w:pPr>
              <w:pStyle w:val="TableParagraph"/>
              <w:spacing w:before="41"/>
              <w:ind w:left="110" w:right="94"/>
              <w:rPr>
                <w:sz w:val="21"/>
                <w:lang w:val="sk-SK"/>
              </w:rPr>
            </w:pPr>
            <w:proofErr w:type="spellStart"/>
            <w:r w:rsidRPr="00AB1559">
              <w:rPr>
                <w:sz w:val="21"/>
                <w:lang w:val="sk-SK"/>
              </w:rPr>
              <w:t>Pseudomonas</w:t>
            </w:r>
            <w:proofErr w:type="spellEnd"/>
            <w:r w:rsidRPr="00AB1559">
              <w:rPr>
                <w:sz w:val="21"/>
                <w:lang w:val="sk-SK"/>
              </w:rPr>
              <w:t xml:space="preserve"> </w:t>
            </w:r>
            <w:proofErr w:type="spellStart"/>
            <w:r w:rsidRPr="00AB1559">
              <w:rPr>
                <w:sz w:val="21"/>
                <w:lang w:val="sk-SK"/>
              </w:rPr>
              <w:t>aeruginosa</w:t>
            </w:r>
            <w:proofErr w:type="spellEnd"/>
            <w:r w:rsidRPr="00AB1559">
              <w:rPr>
                <w:sz w:val="21"/>
                <w:lang w:val="sk-SK"/>
              </w:rPr>
              <w:t xml:space="preserve"> (</w:t>
            </w:r>
            <w:proofErr w:type="spellStart"/>
            <w:r w:rsidRPr="00AB1559">
              <w:rPr>
                <w:sz w:val="21"/>
                <w:lang w:val="sk-SK"/>
              </w:rPr>
              <w:t>Pseudomonas</w:t>
            </w:r>
            <w:proofErr w:type="spellEnd"/>
            <w:r w:rsidRPr="00AB1559">
              <w:rPr>
                <w:sz w:val="21"/>
                <w:lang w:val="sk-SK"/>
              </w:rPr>
              <w:t xml:space="preserve">, </w:t>
            </w:r>
            <w:proofErr w:type="spellStart"/>
            <w:r w:rsidRPr="00AB1559">
              <w:rPr>
                <w:sz w:val="21"/>
                <w:lang w:val="sk-SK"/>
              </w:rPr>
              <w:t>Pseudomonas</w:t>
            </w:r>
            <w:proofErr w:type="spellEnd"/>
            <w:r w:rsidRPr="00AB1559">
              <w:rPr>
                <w:sz w:val="21"/>
                <w:lang w:val="sk-SK"/>
              </w:rPr>
              <w:t xml:space="preserve">), </w:t>
            </w:r>
            <w:proofErr w:type="spellStart"/>
            <w:r w:rsidRPr="00AB1559">
              <w:rPr>
                <w:sz w:val="21"/>
                <w:lang w:val="sk-SK"/>
              </w:rPr>
              <w:t>Escherichia</w:t>
            </w:r>
            <w:proofErr w:type="spellEnd"/>
            <w:r w:rsidRPr="00AB1559">
              <w:rPr>
                <w:sz w:val="21"/>
                <w:lang w:val="sk-SK"/>
              </w:rPr>
              <w:t xml:space="preserve"> </w:t>
            </w:r>
            <w:proofErr w:type="spellStart"/>
            <w:r w:rsidRPr="00AB1559">
              <w:rPr>
                <w:sz w:val="21"/>
                <w:lang w:val="sk-SK"/>
              </w:rPr>
              <w:t>coli</w:t>
            </w:r>
            <w:proofErr w:type="spellEnd"/>
            <w:r w:rsidRPr="00AB1559">
              <w:rPr>
                <w:sz w:val="21"/>
                <w:lang w:val="sk-SK"/>
              </w:rPr>
              <w:t xml:space="preserve"> a </w:t>
            </w:r>
            <w:proofErr w:type="spellStart"/>
            <w:r w:rsidRPr="00AB1559">
              <w:rPr>
                <w:sz w:val="21"/>
                <w:lang w:val="sk-SK"/>
              </w:rPr>
              <w:t>koliformné</w:t>
            </w:r>
            <w:proofErr w:type="spellEnd"/>
            <w:r w:rsidRPr="00AB1559">
              <w:rPr>
                <w:sz w:val="21"/>
                <w:lang w:val="sk-SK"/>
              </w:rPr>
              <w:t xml:space="preserve"> baktérie, </w:t>
            </w:r>
            <w:proofErr w:type="spellStart"/>
            <w:r w:rsidRPr="00AB1559">
              <w:rPr>
                <w:sz w:val="21"/>
                <w:lang w:val="sk-SK"/>
              </w:rPr>
              <w:t>Legionella</w:t>
            </w:r>
            <w:proofErr w:type="spellEnd"/>
            <w:r w:rsidRPr="00AB1559">
              <w:rPr>
                <w:sz w:val="21"/>
                <w:lang w:val="sk-SK"/>
              </w:rPr>
              <w:t>/</w:t>
            </w:r>
            <w:proofErr w:type="spellStart"/>
            <w:r w:rsidRPr="00AB1559">
              <w:rPr>
                <w:sz w:val="21"/>
                <w:lang w:val="sk-SK"/>
              </w:rPr>
              <w:t>Legionella</w:t>
            </w:r>
            <w:proofErr w:type="spellEnd"/>
            <w:r w:rsidRPr="00AB1559">
              <w:rPr>
                <w:sz w:val="21"/>
                <w:lang w:val="sk-SK"/>
              </w:rPr>
              <w:t xml:space="preserve"> </w:t>
            </w:r>
            <w:proofErr w:type="spellStart"/>
            <w:r w:rsidRPr="00AB1559">
              <w:rPr>
                <w:sz w:val="21"/>
                <w:lang w:val="sk-SK"/>
              </w:rPr>
              <w:t>pneumophila</w:t>
            </w:r>
            <w:proofErr w:type="spellEnd"/>
          </w:p>
        </w:tc>
      </w:tr>
      <w:tr w:rsidR="001476DD" w:rsidRPr="00AB1559">
        <w:trPr>
          <w:trHeight w:val="1771"/>
        </w:trPr>
        <w:tc>
          <w:tcPr>
            <w:tcW w:w="2484" w:type="dxa"/>
          </w:tcPr>
          <w:p w:rsidR="001476DD" w:rsidRPr="00AB1559" w:rsidRDefault="008F1FB5">
            <w:pPr>
              <w:pStyle w:val="TableParagraph"/>
              <w:spacing w:before="41"/>
              <w:ind w:left="110"/>
              <w:rPr>
                <w:sz w:val="21"/>
                <w:lang w:val="sk-SK"/>
              </w:rPr>
            </w:pPr>
            <w:r w:rsidRPr="00AB1559">
              <w:rPr>
                <w:sz w:val="21"/>
                <w:lang w:val="sk-SK"/>
              </w:rPr>
              <w:t>Ďalšie výhody</w:t>
            </w:r>
            <w:r w:rsidR="00F9352E" w:rsidRPr="00AB1559">
              <w:rPr>
                <w:sz w:val="21"/>
                <w:lang w:val="sk-SK"/>
              </w:rPr>
              <w:t>:</w:t>
            </w:r>
          </w:p>
        </w:tc>
        <w:tc>
          <w:tcPr>
            <w:tcW w:w="7024" w:type="dxa"/>
          </w:tcPr>
          <w:p w:rsidR="008F1FB5" w:rsidRPr="00AB1559" w:rsidRDefault="008F1FB5" w:rsidP="008F1FB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41"/>
              <w:rPr>
                <w:sz w:val="21"/>
                <w:lang w:val="sk-SK"/>
              </w:rPr>
            </w:pPr>
            <w:r w:rsidRPr="00AB1559">
              <w:rPr>
                <w:sz w:val="21"/>
                <w:lang w:val="sk-SK"/>
              </w:rPr>
              <w:t>Nevytvára sa odpor</w:t>
            </w:r>
          </w:p>
          <w:p w:rsidR="008F1FB5" w:rsidRPr="00AB1559" w:rsidRDefault="008F1FB5" w:rsidP="008F1FB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41"/>
              <w:rPr>
                <w:sz w:val="21"/>
                <w:lang w:val="sk-SK"/>
              </w:rPr>
            </w:pPr>
            <w:r w:rsidRPr="00AB1559">
              <w:rPr>
                <w:sz w:val="21"/>
                <w:lang w:val="sk-SK"/>
              </w:rPr>
              <w:t xml:space="preserve">Eliminácia </w:t>
            </w:r>
            <w:proofErr w:type="spellStart"/>
            <w:r w:rsidRPr="00AB1559">
              <w:rPr>
                <w:sz w:val="21"/>
                <w:lang w:val="sk-SK"/>
              </w:rPr>
              <w:t>biofilmu</w:t>
            </w:r>
            <w:proofErr w:type="spellEnd"/>
            <w:r w:rsidRPr="00AB1559">
              <w:rPr>
                <w:sz w:val="21"/>
                <w:lang w:val="sk-SK"/>
              </w:rPr>
              <w:t xml:space="preserve"> v rozvodoch vody</w:t>
            </w:r>
          </w:p>
          <w:p w:rsidR="008F1FB5" w:rsidRPr="00AB1559" w:rsidRDefault="008F1FB5" w:rsidP="008F1FB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41"/>
              <w:rPr>
                <w:sz w:val="21"/>
                <w:lang w:val="sk-SK"/>
              </w:rPr>
            </w:pPr>
            <w:r w:rsidRPr="00AB1559">
              <w:rPr>
                <w:sz w:val="21"/>
                <w:lang w:val="sk-SK"/>
              </w:rPr>
              <w:t>Žiadne zmeny pH v upravenej vode (šetrné k materiálu)</w:t>
            </w:r>
          </w:p>
          <w:p w:rsidR="001476DD" w:rsidRPr="00AB1559" w:rsidRDefault="008F1FB5" w:rsidP="008F1FB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00" w:line="220" w:lineRule="auto"/>
              <w:ind w:right="188"/>
              <w:rPr>
                <w:sz w:val="21"/>
                <w:lang w:val="sk-SK"/>
              </w:rPr>
            </w:pPr>
            <w:r w:rsidRPr="00AB1559">
              <w:rPr>
                <w:sz w:val="21"/>
                <w:lang w:val="sk-SK"/>
              </w:rPr>
              <w:t>Konzistentná dezinfekčná účinnosť v celom rozsahu pH</w:t>
            </w:r>
          </w:p>
        </w:tc>
      </w:tr>
    </w:tbl>
    <w:p w:rsidR="001476DD" w:rsidRPr="00AB1559" w:rsidRDefault="001476DD">
      <w:pPr>
        <w:pStyle w:val="Zkladntext"/>
        <w:rPr>
          <w:b/>
          <w:lang w:val="sk-SK"/>
        </w:rPr>
      </w:pPr>
    </w:p>
    <w:p w:rsidR="00510D90" w:rsidRPr="00AB1559" w:rsidRDefault="00510D90" w:rsidP="00510D90">
      <w:pPr>
        <w:pStyle w:val="Zkladntext"/>
        <w:ind w:left="240" w:right="2511"/>
        <w:rPr>
          <w:b/>
          <w:szCs w:val="22"/>
          <w:lang w:val="sk-SK"/>
        </w:rPr>
      </w:pPr>
      <w:r w:rsidRPr="00AB1559">
        <w:rPr>
          <w:b/>
          <w:szCs w:val="22"/>
          <w:lang w:val="sk-SK"/>
        </w:rPr>
        <w:t>Bezpečnosť</w:t>
      </w:r>
    </w:p>
    <w:p w:rsidR="001476DD" w:rsidRPr="00AB1559" w:rsidRDefault="00510D90" w:rsidP="00510D90">
      <w:pPr>
        <w:pStyle w:val="Zkladntext"/>
        <w:ind w:left="240" w:right="2511"/>
        <w:rPr>
          <w:lang w:val="sk-SK"/>
        </w:rPr>
      </w:pPr>
      <w:r w:rsidRPr="00AB1559">
        <w:rPr>
          <w:szCs w:val="22"/>
          <w:lang w:val="sk-SK"/>
        </w:rPr>
        <w:t>Výstražné upozornenia na nádobách sa musia dodržiavať. Je potrebné dodržiavať informácie na karte bezpečnostných údajov.</w:t>
      </w:r>
    </w:p>
    <w:p w:rsidR="001476DD" w:rsidRPr="00AB1559" w:rsidRDefault="001476DD">
      <w:pPr>
        <w:pStyle w:val="Zkladntext"/>
        <w:spacing w:before="11"/>
        <w:rPr>
          <w:sz w:val="23"/>
          <w:lang w:val="sk-SK"/>
        </w:rPr>
      </w:pPr>
    </w:p>
    <w:p w:rsidR="001476DD" w:rsidRPr="00AB1559" w:rsidRDefault="00510D90">
      <w:pPr>
        <w:pStyle w:val="Zkladntext"/>
        <w:ind w:left="240" w:right="365"/>
        <w:rPr>
          <w:lang w:val="sk-SK"/>
        </w:rPr>
      </w:pPr>
      <w:r w:rsidRPr="00AB1559">
        <w:rPr>
          <w:lang w:val="sk-SK"/>
        </w:rPr>
        <w:t>Pri používaní noste ochranné rukavice a okuliare. Zabezpečte dobré vetranie miestností.</w:t>
      </w:r>
    </w:p>
    <w:p w:rsidR="001476DD" w:rsidRPr="00AB1559" w:rsidRDefault="001476DD">
      <w:pPr>
        <w:pStyle w:val="Zkladntext"/>
        <w:rPr>
          <w:lang w:val="sk-SK"/>
        </w:rPr>
      </w:pPr>
    </w:p>
    <w:p w:rsidR="001476DD" w:rsidRPr="00AB1559" w:rsidRDefault="00510D90">
      <w:pPr>
        <w:pStyle w:val="Zkladntext"/>
        <w:ind w:left="240" w:right="365"/>
        <w:rPr>
          <w:lang w:val="sk-SK"/>
        </w:rPr>
      </w:pPr>
      <w:r w:rsidRPr="00AB1559">
        <w:rPr>
          <w:lang w:val="sk-SK"/>
        </w:rPr>
        <w:t>KYROL TC je nehorľavý, ale ak sa rozleje a vyschne, podporuje horľavosť horľavých materiálov</w:t>
      </w:r>
      <w:r w:rsidR="00F9352E" w:rsidRPr="00AB1559">
        <w:rPr>
          <w:lang w:val="sk-SK"/>
        </w:rPr>
        <w:t>.</w:t>
      </w:r>
    </w:p>
    <w:p w:rsidR="001476DD" w:rsidRPr="00AB1559" w:rsidRDefault="001476DD">
      <w:pPr>
        <w:rPr>
          <w:lang w:val="sk-SK"/>
        </w:rPr>
        <w:sectPr w:rsidR="001476DD" w:rsidRPr="00AB1559">
          <w:pgSz w:w="11910" w:h="16840"/>
          <w:pgMar w:top="2120" w:right="980" w:bottom="1960" w:left="1180" w:header="640" w:footer="1762" w:gutter="0"/>
          <w:cols w:space="708"/>
        </w:sectPr>
      </w:pPr>
    </w:p>
    <w:p w:rsidR="001476DD" w:rsidRPr="00AB1559" w:rsidRDefault="001476DD">
      <w:pPr>
        <w:pStyle w:val="Zkladntext"/>
        <w:rPr>
          <w:sz w:val="20"/>
          <w:lang w:val="sk-SK"/>
        </w:rPr>
      </w:pPr>
    </w:p>
    <w:p w:rsidR="001476DD" w:rsidRPr="00AB1559" w:rsidRDefault="001476DD">
      <w:pPr>
        <w:pStyle w:val="Zkladntext"/>
        <w:rPr>
          <w:sz w:val="20"/>
          <w:lang w:val="sk-SK"/>
        </w:rPr>
      </w:pPr>
    </w:p>
    <w:p w:rsidR="001476DD" w:rsidRPr="00AB1559" w:rsidRDefault="001476DD">
      <w:pPr>
        <w:pStyle w:val="Zkladntext"/>
        <w:rPr>
          <w:sz w:val="20"/>
          <w:lang w:val="sk-SK"/>
        </w:rPr>
      </w:pPr>
    </w:p>
    <w:p w:rsidR="001476DD" w:rsidRPr="00AB1559" w:rsidRDefault="001476DD">
      <w:pPr>
        <w:pStyle w:val="Zkladntext"/>
        <w:spacing w:before="11"/>
        <w:rPr>
          <w:sz w:val="20"/>
          <w:lang w:val="sk-SK"/>
        </w:rPr>
      </w:pPr>
    </w:p>
    <w:p w:rsidR="001476DD" w:rsidRPr="00AB1559" w:rsidRDefault="00D33056">
      <w:pPr>
        <w:pStyle w:val="Heading1"/>
        <w:ind w:right="365"/>
        <w:rPr>
          <w:lang w:val="sk-SK"/>
        </w:rPr>
      </w:pPr>
      <w:r w:rsidRPr="00AB1559">
        <w:rPr>
          <w:lang w:val="sk-SK"/>
        </w:rPr>
        <w:t>Biocídne výrobky používajte opatrne. Pred použitím si vždy prečítajte etiketu a informácie o produkte</w:t>
      </w:r>
      <w:r w:rsidR="00F9352E" w:rsidRPr="00AB1559">
        <w:rPr>
          <w:lang w:val="sk-SK"/>
        </w:rPr>
        <w:t>.</w:t>
      </w:r>
    </w:p>
    <w:p w:rsidR="001476DD" w:rsidRPr="00AB1559" w:rsidRDefault="001476DD">
      <w:pPr>
        <w:pStyle w:val="Zkladntext"/>
        <w:rPr>
          <w:b/>
          <w:sz w:val="26"/>
          <w:lang w:val="sk-SK"/>
        </w:rPr>
      </w:pPr>
    </w:p>
    <w:p w:rsidR="001476DD" w:rsidRPr="00AB1559" w:rsidRDefault="001476DD">
      <w:pPr>
        <w:pStyle w:val="Zkladntext"/>
        <w:rPr>
          <w:b/>
          <w:sz w:val="26"/>
          <w:lang w:val="sk-SK"/>
        </w:rPr>
      </w:pPr>
    </w:p>
    <w:p w:rsidR="00D33056" w:rsidRPr="00AB1559" w:rsidRDefault="00D33056" w:rsidP="00D33056">
      <w:pPr>
        <w:pStyle w:val="Zkladntext"/>
        <w:ind w:left="240"/>
        <w:rPr>
          <w:b/>
          <w:szCs w:val="22"/>
          <w:lang w:val="sk-SK"/>
        </w:rPr>
      </w:pPr>
      <w:r w:rsidRPr="00AB1559">
        <w:rPr>
          <w:b/>
          <w:szCs w:val="22"/>
          <w:lang w:val="sk-SK"/>
        </w:rPr>
        <w:t>Opatrenia prvej pomoci</w:t>
      </w:r>
    </w:p>
    <w:p w:rsidR="00706C03" w:rsidRPr="00AB1559" w:rsidRDefault="00D33056" w:rsidP="00D33056">
      <w:pPr>
        <w:pStyle w:val="Zkladntext"/>
        <w:ind w:left="240"/>
        <w:rPr>
          <w:szCs w:val="22"/>
          <w:lang w:val="sk-SK"/>
        </w:rPr>
      </w:pPr>
      <w:r w:rsidRPr="00AB1559">
        <w:rPr>
          <w:szCs w:val="22"/>
          <w:u w:val="single"/>
          <w:lang w:val="sk-SK"/>
        </w:rPr>
        <w:t>Všeobecné</w:t>
      </w:r>
      <w:r w:rsidRPr="00AB1559">
        <w:rPr>
          <w:szCs w:val="22"/>
          <w:lang w:val="sk-SK"/>
        </w:rPr>
        <w:t>: Okamžite odstráňte odev znečistený produktom</w:t>
      </w:r>
      <w:r w:rsidR="00706C03" w:rsidRPr="00AB1559">
        <w:rPr>
          <w:szCs w:val="22"/>
          <w:lang w:val="sk-SK"/>
        </w:rPr>
        <w:t>.</w:t>
      </w:r>
      <w:r w:rsidRPr="00AB1559">
        <w:rPr>
          <w:szCs w:val="22"/>
          <w:lang w:val="sk-SK"/>
        </w:rPr>
        <w:t xml:space="preserve"> </w:t>
      </w:r>
    </w:p>
    <w:p w:rsidR="00D33056" w:rsidRPr="00AB1559" w:rsidRDefault="00D33056" w:rsidP="00D33056">
      <w:pPr>
        <w:pStyle w:val="Zkladntext"/>
        <w:ind w:left="240"/>
        <w:rPr>
          <w:szCs w:val="22"/>
          <w:lang w:val="sk-SK"/>
        </w:rPr>
      </w:pPr>
      <w:r w:rsidRPr="00AB1559">
        <w:rPr>
          <w:szCs w:val="22"/>
          <w:u w:val="single"/>
          <w:lang w:val="sk-SK"/>
        </w:rPr>
        <w:t>Po vdýchnutí</w:t>
      </w:r>
      <w:r w:rsidRPr="00AB1559">
        <w:rPr>
          <w:szCs w:val="22"/>
          <w:lang w:val="sk-SK"/>
        </w:rPr>
        <w:t>: Prívod čerstvého vzduchu. V prípade dýchavičnosti vdýchnite kyslík, v prípade potreby vdychujte. Ihneď sa poraďte s lekárom.</w:t>
      </w:r>
    </w:p>
    <w:p w:rsidR="00D33056" w:rsidRPr="00AB1559" w:rsidRDefault="00D33056" w:rsidP="00D33056">
      <w:pPr>
        <w:pStyle w:val="Zkladntext"/>
        <w:ind w:left="240"/>
        <w:rPr>
          <w:szCs w:val="22"/>
          <w:lang w:val="sk-SK"/>
        </w:rPr>
      </w:pPr>
      <w:r w:rsidRPr="00AB1559">
        <w:rPr>
          <w:szCs w:val="22"/>
          <w:u w:val="single"/>
          <w:lang w:val="sk-SK"/>
        </w:rPr>
        <w:t>Po kontakte s pokožkou</w:t>
      </w:r>
      <w:r w:rsidRPr="00AB1559">
        <w:rPr>
          <w:szCs w:val="22"/>
          <w:lang w:val="sk-SK"/>
        </w:rPr>
        <w:t>: Okamžite umyte vodou. Ak podráždenie pokožky pretrváva, poraďte sa s lekárom.</w:t>
      </w:r>
    </w:p>
    <w:p w:rsidR="00D33056" w:rsidRPr="00AB1559" w:rsidRDefault="00D33056" w:rsidP="00D33056">
      <w:pPr>
        <w:pStyle w:val="Zkladntext"/>
        <w:ind w:left="240"/>
        <w:rPr>
          <w:szCs w:val="22"/>
          <w:lang w:val="sk-SK"/>
        </w:rPr>
      </w:pPr>
      <w:r w:rsidRPr="00AB1559">
        <w:rPr>
          <w:szCs w:val="22"/>
          <w:u w:val="single"/>
          <w:lang w:val="sk-SK"/>
        </w:rPr>
        <w:t>Po kontakte s očami</w:t>
      </w:r>
      <w:r w:rsidRPr="00AB1559">
        <w:rPr>
          <w:szCs w:val="22"/>
          <w:lang w:val="sk-SK"/>
        </w:rPr>
        <w:t>: Oboma rukami držte oči dokorán a intenzívne ich vyplachujte pod tečúcou vodou najmenej 15 minút. Okamžite privolajte očného lekára.</w:t>
      </w:r>
    </w:p>
    <w:p w:rsidR="00D33056" w:rsidRPr="00AB1559" w:rsidRDefault="00D33056" w:rsidP="00D33056">
      <w:pPr>
        <w:pStyle w:val="Zkladntext"/>
        <w:ind w:left="240"/>
        <w:rPr>
          <w:szCs w:val="22"/>
          <w:lang w:val="sk-SK"/>
        </w:rPr>
      </w:pPr>
      <w:r w:rsidRPr="00AB1559">
        <w:rPr>
          <w:szCs w:val="22"/>
          <w:u w:val="single"/>
          <w:lang w:val="sk-SK"/>
        </w:rPr>
        <w:t>Po prehltnutí</w:t>
      </w:r>
      <w:r w:rsidRPr="00AB1559">
        <w:rPr>
          <w:szCs w:val="22"/>
          <w:lang w:val="sk-SK"/>
        </w:rPr>
        <w:t>: Vypláchnite ústa a vypite pohár vody (nechajte niekoho vypiť). Nevyvolávajte zvracanie.</w:t>
      </w:r>
    </w:p>
    <w:p w:rsidR="001476DD" w:rsidRPr="00AB1559" w:rsidRDefault="00D33056" w:rsidP="00D33056">
      <w:pPr>
        <w:pStyle w:val="Zkladntext"/>
        <w:ind w:left="240"/>
        <w:rPr>
          <w:lang w:val="sk-SK"/>
        </w:rPr>
      </w:pPr>
      <w:r w:rsidRPr="00AB1559">
        <w:rPr>
          <w:szCs w:val="22"/>
          <w:lang w:val="sk-SK"/>
        </w:rPr>
        <w:t>Okamžite vyhľadajte lekársku pomoc a ukážte nádobu alebo etiketu</w:t>
      </w:r>
      <w:r w:rsidR="00F9352E" w:rsidRPr="00AB1559">
        <w:rPr>
          <w:lang w:val="sk-SK"/>
        </w:rPr>
        <w:t>.</w:t>
      </w:r>
    </w:p>
    <w:p w:rsidR="001476DD" w:rsidRPr="00AB1559" w:rsidRDefault="001476DD">
      <w:pPr>
        <w:pStyle w:val="Zkladntext"/>
        <w:rPr>
          <w:sz w:val="20"/>
          <w:lang w:val="sk-SK"/>
        </w:rPr>
      </w:pPr>
    </w:p>
    <w:p w:rsidR="001476DD" w:rsidRPr="00AB1559" w:rsidRDefault="001476DD">
      <w:pPr>
        <w:pStyle w:val="Zkladntext"/>
        <w:rPr>
          <w:sz w:val="20"/>
          <w:lang w:val="sk-SK"/>
        </w:rPr>
      </w:pPr>
    </w:p>
    <w:p w:rsidR="001476DD" w:rsidRPr="00AB1559" w:rsidRDefault="001476DD">
      <w:pPr>
        <w:pStyle w:val="Zkladntext"/>
        <w:rPr>
          <w:sz w:val="20"/>
          <w:lang w:val="sk-SK"/>
        </w:rPr>
      </w:pPr>
    </w:p>
    <w:p w:rsidR="001476DD" w:rsidRPr="00AB1559" w:rsidRDefault="001476DD">
      <w:pPr>
        <w:pStyle w:val="Zkladntext"/>
        <w:rPr>
          <w:sz w:val="20"/>
          <w:lang w:val="sk-SK"/>
        </w:rPr>
      </w:pPr>
    </w:p>
    <w:p w:rsidR="001476DD" w:rsidRPr="00AB1559" w:rsidRDefault="001476DD">
      <w:pPr>
        <w:pStyle w:val="Zkladntext"/>
        <w:spacing w:before="2"/>
        <w:rPr>
          <w:sz w:val="21"/>
          <w:lang w:val="sk-SK"/>
        </w:rPr>
      </w:pPr>
    </w:p>
    <w:p w:rsidR="001476DD" w:rsidRPr="00AB1559" w:rsidRDefault="00F9352E">
      <w:pPr>
        <w:spacing w:before="146"/>
        <w:ind w:left="2564"/>
        <w:rPr>
          <w:b/>
          <w:sz w:val="32"/>
          <w:lang w:val="sk-SK"/>
        </w:rPr>
      </w:pPr>
      <w:r w:rsidRPr="00AB1559">
        <w:rPr>
          <w:noProof/>
          <w:lang w:val="sk-SK" w:eastAsia="sk-SK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1006515</wp:posOffset>
            </wp:positionH>
            <wp:positionV relativeFrom="paragraph">
              <wp:posOffset>64869</wp:posOffset>
            </wp:positionV>
            <wp:extent cx="1365844" cy="161861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44" cy="1618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1559">
        <w:rPr>
          <w:noProof/>
          <w:lang w:val="sk-SK" w:eastAsia="sk-SK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4859020</wp:posOffset>
            </wp:positionH>
            <wp:positionV relativeFrom="paragraph">
              <wp:posOffset>64869</wp:posOffset>
            </wp:positionV>
            <wp:extent cx="1781809" cy="149352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809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AB1559">
        <w:rPr>
          <w:b/>
          <w:color w:val="3A68BA"/>
          <w:sz w:val="32"/>
          <w:lang w:val="sk-SK"/>
        </w:rPr>
        <w:t>Kyro</w:t>
      </w:r>
      <w:r w:rsidRPr="00AB1559">
        <w:rPr>
          <w:b/>
          <w:color w:val="85928E"/>
          <w:sz w:val="32"/>
          <w:lang w:val="sk-SK"/>
        </w:rPr>
        <w:t>Chem</w:t>
      </w:r>
      <w:proofErr w:type="spellEnd"/>
      <w:r w:rsidRPr="00AB1559">
        <w:rPr>
          <w:b/>
          <w:color w:val="85928E"/>
          <w:sz w:val="32"/>
          <w:lang w:val="sk-SK"/>
        </w:rPr>
        <w:t xml:space="preserve"> </w:t>
      </w:r>
      <w:proofErr w:type="spellStart"/>
      <w:r w:rsidRPr="00AB1559">
        <w:rPr>
          <w:b/>
          <w:color w:val="85928E"/>
          <w:sz w:val="32"/>
          <w:lang w:val="sk-SK"/>
        </w:rPr>
        <w:t>GmbH</w:t>
      </w:r>
      <w:proofErr w:type="spellEnd"/>
    </w:p>
    <w:p w:rsidR="001476DD" w:rsidRPr="00AB1559" w:rsidRDefault="00F9352E">
      <w:pPr>
        <w:pStyle w:val="Heading1"/>
        <w:spacing w:before="47" w:line="278" w:lineRule="auto"/>
        <w:ind w:left="2564" w:right="4388"/>
        <w:rPr>
          <w:lang w:val="sk-SK"/>
        </w:rPr>
      </w:pPr>
      <w:proofErr w:type="spellStart"/>
      <w:r w:rsidRPr="00AB1559">
        <w:rPr>
          <w:color w:val="3A68BA"/>
          <w:lang w:val="sk-SK"/>
        </w:rPr>
        <w:t>Schaumburger</w:t>
      </w:r>
      <w:proofErr w:type="spellEnd"/>
      <w:r w:rsidRPr="00AB1559">
        <w:rPr>
          <w:color w:val="3A68BA"/>
          <w:lang w:val="sk-SK"/>
        </w:rPr>
        <w:t xml:space="preserve"> </w:t>
      </w:r>
      <w:proofErr w:type="spellStart"/>
      <w:r w:rsidRPr="00AB1559">
        <w:rPr>
          <w:color w:val="3A68BA"/>
          <w:lang w:val="sk-SK"/>
        </w:rPr>
        <w:t>Straße</w:t>
      </w:r>
      <w:proofErr w:type="spellEnd"/>
      <w:r w:rsidRPr="00AB1559">
        <w:rPr>
          <w:color w:val="3A68BA"/>
          <w:spacing w:val="-53"/>
          <w:lang w:val="sk-SK"/>
        </w:rPr>
        <w:t xml:space="preserve"> </w:t>
      </w:r>
      <w:r w:rsidRPr="00AB1559">
        <w:rPr>
          <w:color w:val="3A68BA"/>
          <w:lang w:val="sk-SK"/>
        </w:rPr>
        <w:t xml:space="preserve">11 D-30900 </w:t>
      </w:r>
      <w:proofErr w:type="spellStart"/>
      <w:r w:rsidRPr="00AB1559">
        <w:rPr>
          <w:color w:val="3A68BA"/>
          <w:lang w:val="sk-SK"/>
        </w:rPr>
        <w:t>Wedemark</w:t>
      </w:r>
      <w:proofErr w:type="spellEnd"/>
    </w:p>
    <w:p w:rsidR="001476DD" w:rsidRPr="00AB1559" w:rsidRDefault="00F9352E">
      <w:pPr>
        <w:spacing w:line="274" w:lineRule="exact"/>
        <w:ind w:left="2564"/>
        <w:rPr>
          <w:b/>
          <w:sz w:val="24"/>
          <w:lang w:val="sk-SK"/>
        </w:rPr>
      </w:pPr>
      <w:proofErr w:type="spellStart"/>
      <w:r w:rsidRPr="00AB1559">
        <w:rPr>
          <w:b/>
          <w:color w:val="3A68BA"/>
          <w:w w:val="105"/>
          <w:sz w:val="24"/>
          <w:lang w:val="sk-SK"/>
        </w:rPr>
        <w:t>Fon</w:t>
      </w:r>
      <w:proofErr w:type="spellEnd"/>
      <w:r w:rsidRPr="00AB1559">
        <w:rPr>
          <w:b/>
          <w:color w:val="3A68BA"/>
          <w:w w:val="105"/>
          <w:sz w:val="24"/>
          <w:lang w:val="sk-SK"/>
        </w:rPr>
        <w:t>:</w:t>
      </w:r>
      <w:r w:rsidRPr="00AB1559">
        <w:rPr>
          <w:b/>
          <w:color w:val="3A68BA"/>
          <w:spacing w:val="-25"/>
          <w:w w:val="105"/>
          <w:sz w:val="24"/>
          <w:lang w:val="sk-SK"/>
        </w:rPr>
        <w:t xml:space="preserve"> </w:t>
      </w:r>
      <w:r w:rsidRPr="00AB1559">
        <w:rPr>
          <w:b/>
          <w:color w:val="3A68BA"/>
          <w:w w:val="105"/>
          <w:sz w:val="24"/>
          <w:lang w:val="sk-SK"/>
        </w:rPr>
        <w:t>+49</w:t>
      </w:r>
      <w:r w:rsidRPr="00AB1559">
        <w:rPr>
          <w:b/>
          <w:color w:val="3A68BA"/>
          <w:spacing w:val="-25"/>
          <w:w w:val="105"/>
          <w:sz w:val="24"/>
          <w:lang w:val="sk-SK"/>
        </w:rPr>
        <w:t xml:space="preserve"> </w:t>
      </w:r>
      <w:r w:rsidRPr="00AB1559">
        <w:rPr>
          <w:b/>
          <w:color w:val="3A68BA"/>
          <w:w w:val="105"/>
          <w:sz w:val="24"/>
          <w:lang w:val="sk-SK"/>
        </w:rPr>
        <w:t>(0)</w:t>
      </w:r>
      <w:r w:rsidRPr="00AB1559">
        <w:rPr>
          <w:b/>
          <w:color w:val="3A68BA"/>
          <w:spacing w:val="-25"/>
          <w:w w:val="105"/>
          <w:sz w:val="24"/>
          <w:lang w:val="sk-SK"/>
        </w:rPr>
        <w:t xml:space="preserve"> </w:t>
      </w:r>
      <w:r w:rsidRPr="00AB1559">
        <w:rPr>
          <w:b/>
          <w:color w:val="3A68BA"/>
          <w:w w:val="105"/>
          <w:sz w:val="24"/>
          <w:lang w:val="sk-SK"/>
        </w:rPr>
        <w:t>5130-375043</w:t>
      </w:r>
    </w:p>
    <w:p w:rsidR="001476DD" w:rsidRPr="00AB1559" w:rsidRDefault="00F9352E">
      <w:pPr>
        <w:spacing w:before="44"/>
        <w:ind w:left="2564"/>
        <w:rPr>
          <w:b/>
          <w:sz w:val="24"/>
          <w:lang w:val="sk-SK"/>
        </w:rPr>
      </w:pPr>
      <w:r w:rsidRPr="00AB1559">
        <w:rPr>
          <w:b/>
          <w:color w:val="3A68BA"/>
          <w:w w:val="105"/>
          <w:sz w:val="24"/>
          <w:lang w:val="sk-SK"/>
        </w:rPr>
        <w:t>Fax:</w:t>
      </w:r>
      <w:r w:rsidRPr="00AB1559">
        <w:rPr>
          <w:b/>
          <w:color w:val="3A68BA"/>
          <w:spacing w:val="-26"/>
          <w:w w:val="105"/>
          <w:sz w:val="24"/>
          <w:lang w:val="sk-SK"/>
        </w:rPr>
        <w:t xml:space="preserve"> </w:t>
      </w:r>
      <w:r w:rsidRPr="00AB1559">
        <w:rPr>
          <w:b/>
          <w:color w:val="3A68BA"/>
          <w:w w:val="105"/>
          <w:sz w:val="24"/>
          <w:lang w:val="sk-SK"/>
        </w:rPr>
        <w:t>+49</w:t>
      </w:r>
      <w:r w:rsidRPr="00AB1559">
        <w:rPr>
          <w:b/>
          <w:color w:val="3A68BA"/>
          <w:spacing w:val="-26"/>
          <w:w w:val="105"/>
          <w:sz w:val="24"/>
          <w:lang w:val="sk-SK"/>
        </w:rPr>
        <w:t xml:space="preserve"> </w:t>
      </w:r>
      <w:r w:rsidRPr="00AB1559">
        <w:rPr>
          <w:b/>
          <w:color w:val="3A68BA"/>
          <w:w w:val="105"/>
          <w:sz w:val="24"/>
          <w:lang w:val="sk-SK"/>
        </w:rPr>
        <w:t>(0)</w:t>
      </w:r>
      <w:r w:rsidRPr="00AB1559">
        <w:rPr>
          <w:b/>
          <w:color w:val="3A68BA"/>
          <w:spacing w:val="-25"/>
          <w:w w:val="105"/>
          <w:sz w:val="24"/>
          <w:lang w:val="sk-SK"/>
        </w:rPr>
        <w:t xml:space="preserve"> </w:t>
      </w:r>
      <w:r w:rsidRPr="00AB1559">
        <w:rPr>
          <w:b/>
          <w:color w:val="3A68BA"/>
          <w:w w:val="105"/>
          <w:sz w:val="24"/>
          <w:lang w:val="sk-SK"/>
        </w:rPr>
        <w:t>5130-376548</w:t>
      </w:r>
    </w:p>
    <w:p w:rsidR="001476DD" w:rsidRPr="00AB1559" w:rsidRDefault="00F9352E">
      <w:pPr>
        <w:spacing w:before="42"/>
        <w:ind w:left="2564"/>
        <w:rPr>
          <w:sz w:val="20"/>
          <w:lang w:val="sk-SK"/>
        </w:rPr>
      </w:pPr>
      <w:proofErr w:type="spellStart"/>
      <w:r w:rsidRPr="00AB1559">
        <w:rPr>
          <w:b/>
          <w:color w:val="3A68BA"/>
          <w:sz w:val="24"/>
          <w:lang w:val="sk-SK"/>
        </w:rPr>
        <w:t>E-Mail</w:t>
      </w:r>
      <w:proofErr w:type="spellEnd"/>
      <w:r w:rsidRPr="00AB1559">
        <w:rPr>
          <w:b/>
          <w:color w:val="3A68BA"/>
          <w:sz w:val="24"/>
          <w:lang w:val="sk-SK"/>
        </w:rPr>
        <w:t xml:space="preserve">: </w:t>
      </w:r>
      <w:hyperlink r:id="rId11">
        <w:r w:rsidRPr="00AB1559">
          <w:rPr>
            <w:color w:val="0000FF"/>
            <w:sz w:val="20"/>
            <w:u w:val="single" w:color="0000FF"/>
            <w:lang w:val="sk-SK"/>
          </w:rPr>
          <w:t>kyrochem@kyrochem.de</w:t>
        </w:r>
      </w:hyperlink>
    </w:p>
    <w:p w:rsidR="001476DD" w:rsidRPr="00AB1559" w:rsidRDefault="00F9352E">
      <w:pPr>
        <w:spacing w:before="44"/>
        <w:ind w:left="2564"/>
        <w:rPr>
          <w:sz w:val="20"/>
          <w:lang w:val="sk-SK"/>
        </w:rPr>
      </w:pPr>
      <w:r w:rsidRPr="00AB1559">
        <w:rPr>
          <w:b/>
          <w:color w:val="3A68BA"/>
          <w:sz w:val="24"/>
          <w:lang w:val="sk-SK"/>
        </w:rPr>
        <w:t xml:space="preserve">Web: </w:t>
      </w:r>
      <w:hyperlink r:id="rId12">
        <w:r w:rsidRPr="00AB1559">
          <w:rPr>
            <w:color w:val="0000FF"/>
            <w:sz w:val="20"/>
            <w:u w:val="single" w:color="0000FF"/>
            <w:lang w:val="sk-SK"/>
          </w:rPr>
          <w:t>http://www.kyrochem.de</w:t>
        </w:r>
      </w:hyperlink>
    </w:p>
    <w:sectPr w:rsidR="001476DD" w:rsidRPr="00AB1559" w:rsidSect="001476DD">
      <w:pgSz w:w="11910" w:h="16840"/>
      <w:pgMar w:top="2120" w:right="980" w:bottom="1960" w:left="1180" w:header="640" w:footer="176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4A2" w:rsidRDefault="00A954A2" w:rsidP="001476DD">
      <w:r>
        <w:separator/>
      </w:r>
    </w:p>
  </w:endnote>
  <w:endnote w:type="continuationSeparator" w:id="0">
    <w:p w:rsidR="00A954A2" w:rsidRDefault="00A954A2" w:rsidP="00147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DD" w:rsidRDefault="00F9352E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w:drawing>
        <wp:anchor distT="0" distB="0" distL="0" distR="0" simplePos="0" relativeHeight="487453696" behindDoc="1" locked="0" layoutInCell="1" allowOverlap="1">
          <wp:simplePos x="0" y="0"/>
          <wp:positionH relativeFrom="page">
            <wp:posOffset>3507727</wp:posOffset>
          </wp:positionH>
          <wp:positionV relativeFrom="page">
            <wp:posOffset>9828542</wp:posOffset>
          </wp:positionV>
          <wp:extent cx="539750" cy="62357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750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3801" w:rsidRPr="00E838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2.7pt;margin-top:742.75pt;width:448.3pt;height:39.05pt;z-index:-15862272;mso-position-horizontal-relative:page;mso-position-vertical-relative:page" filled="f" stroked="f">
          <v:textbox style="mso-next-textbox:#_x0000_s2050" inset="0,0,0,0">
            <w:txbxContent>
              <w:p w:rsidR="001476DD" w:rsidRDefault="005C22A7">
                <w:pPr>
                  <w:spacing w:before="16"/>
                  <w:ind w:left="47" w:right="7"/>
                  <w:jc w:val="center"/>
                  <w:rPr>
                    <w:b/>
                    <w:sz w:val="12"/>
                  </w:rPr>
                </w:pPr>
                <w:proofErr w:type="spellStart"/>
                <w:r w:rsidRPr="005C22A7">
                  <w:rPr>
                    <w:b/>
                    <w:sz w:val="12"/>
                  </w:rPr>
                  <w:t>Vzhľadom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na </w:t>
                </w:r>
                <w:proofErr w:type="spellStart"/>
                <w:r w:rsidRPr="005C22A7">
                  <w:rPr>
                    <w:b/>
                    <w:sz w:val="12"/>
                  </w:rPr>
                  <w:t>špeciálne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vlastnosti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, </w:t>
                </w:r>
                <w:proofErr w:type="spellStart"/>
                <w:r w:rsidRPr="005C22A7">
                  <w:rPr>
                    <w:b/>
                    <w:sz w:val="12"/>
                  </w:rPr>
                  <w:t>ktoré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je </w:t>
                </w:r>
                <w:proofErr w:type="spellStart"/>
                <w:r w:rsidRPr="005C22A7">
                  <w:rPr>
                    <w:b/>
                    <w:sz w:val="12"/>
                  </w:rPr>
                  <w:t>potrebné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vziať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do </w:t>
                </w:r>
                <w:proofErr w:type="spellStart"/>
                <w:r w:rsidRPr="005C22A7">
                  <w:rPr>
                    <w:b/>
                    <w:sz w:val="12"/>
                  </w:rPr>
                  <w:t>úvahy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pri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každej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aplikácii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, je </w:t>
                </w:r>
                <w:proofErr w:type="spellStart"/>
                <w:r w:rsidRPr="005C22A7">
                  <w:rPr>
                    <w:b/>
                    <w:sz w:val="12"/>
                  </w:rPr>
                  <w:t>možné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poradenstvo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a </w:t>
                </w:r>
                <w:proofErr w:type="spellStart"/>
                <w:r w:rsidRPr="005C22A7">
                  <w:rPr>
                    <w:b/>
                    <w:sz w:val="12"/>
                  </w:rPr>
                  <w:t>popis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vlastností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prispôsobených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konkrétnemu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prípadu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poskytnúť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len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individuálne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. </w:t>
                </w:r>
                <w:proofErr w:type="spellStart"/>
                <w:r w:rsidRPr="005C22A7">
                  <w:rPr>
                    <w:b/>
                    <w:sz w:val="12"/>
                  </w:rPr>
                  <w:t>Základné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informácie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uvedené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v </w:t>
                </w:r>
                <w:proofErr w:type="spellStart"/>
                <w:r w:rsidRPr="005C22A7">
                  <w:rPr>
                    <w:b/>
                    <w:sz w:val="12"/>
                  </w:rPr>
                  <w:t>tomto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liste nie </w:t>
                </w:r>
                <w:proofErr w:type="spellStart"/>
                <w:r w:rsidRPr="005C22A7">
                  <w:rPr>
                    <w:b/>
                    <w:sz w:val="12"/>
                  </w:rPr>
                  <w:t>sú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záväzné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. </w:t>
                </w:r>
                <w:proofErr w:type="spellStart"/>
                <w:r w:rsidRPr="005C22A7">
                  <w:rPr>
                    <w:b/>
                    <w:sz w:val="12"/>
                  </w:rPr>
                  <w:t>Individuálne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návrhy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sú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vytvorené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na </w:t>
                </w:r>
                <w:proofErr w:type="spellStart"/>
                <w:r w:rsidRPr="005C22A7">
                  <w:rPr>
                    <w:b/>
                    <w:sz w:val="12"/>
                  </w:rPr>
                  <w:t>požiadanie</w:t>
                </w:r>
                <w:proofErr w:type="spellEnd"/>
                <w:r w:rsidRPr="005C22A7">
                  <w:rPr>
                    <w:b/>
                    <w:sz w:val="12"/>
                  </w:rPr>
                  <w:t>.</w:t>
                </w:r>
              </w:p>
              <w:p w:rsidR="001476DD" w:rsidRDefault="005C22A7">
                <w:pPr>
                  <w:ind w:left="42" w:right="7"/>
                  <w:jc w:val="center"/>
                  <w:rPr>
                    <w:b/>
                    <w:sz w:val="12"/>
                  </w:rPr>
                </w:pPr>
                <w:proofErr w:type="spellStart"/>
                <w:r w:rsidRPr="005C22A7">
                  <w:rPr>
                    <w:b/>
                    <w:sz w:val="12"/>
                  </w:rPr>
                  <w:t>Tým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strácajú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platnosť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všetky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dátové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listy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, </w:t>
                </w:r>
                <w:proofErr w:type="spellStart"/>
                <w:r w:rsidRPr="005C22A7">
                  <w:rPr>
                    <w:b/>
                    <w:sz w:val="12"/>
                  </w:rPr>
                  <w:t>ktoré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b/>
                    <w:sz w:val="12"/>
                  </w:rPr>
                  <w:t>boli</w:t>
                </w:r>
                <w:proofErr w:type="spellEnd"/>
                <w:r w:rsidRPr="005C22A7">
                  <w:rPr>
                    <w:b/>
                    <w:sz w:val="12"/>
                  </w:rPr>
                  <w:t xml:space="preserve"> </w:t>
                </w:r>
                <w:proofErr w:type="spellStart"/>
                <w:r>
                  <w:rPr>
                    <w:b/>
                    <w:sz w:val="12"/>
                  </w:rPr>
                  <w:t>vytvorené</w:t>
                </w:r>
                <w:proofErr w:type="spellEnd"/>
                <w:r>
                  <w:rPr>
                    <w:b/>
                    <w:sz w:val="12"/>
                  </w:rPr>
                  <w:t xml:space="preserve"> </w:t>
                </w:r>
                <w:proofErr w:type="spellStart"/>
                <w:r>
                  <w:rPr>
                    <w:b/>
                    <w:sz w:val="12"/>
                  </w:rPr>
                  <w:t>pred</w:t>
                </w:r>
                <w:proofErr w:type="spellEnd"/>
                <w:r>
                  <w:rPr>
                    <w:b/>
                    <w:sz w:val="12"/>
                  </w:rPr>
                  <w:t xml:space="preserve"> </w:t>
                </w:r>
                <w:proofErr w:type="spellStart"/>
                <w:r>
                  <w:rPr>
                    <w:b/>
                    <w:sz w:val="12"/>
                  </w:rPr>
                  <w:t>aktuálnym</w:t>
                </w:r>
                <w:proofErr w:type="spellEnd"/>
                <w:r>
                  <w:rPr>
                    <w:b/>
                    <w:sz w:val="12"/>
                  </w:rPr>
                  <w:t xml:space="preserve"> </w:t>
                </w:r>
                <w:proofErr w:type="spellStart"/>
                <w:r>
                  <w:rPr>
                    <w:b/>
                    <w:sz w:val="12"/>
                  </w:rPr>
                  <w:t>stavom</w:t>
                </w:r>
                <w:proofErr w:type="spellEnd"/>
                <w:r w:rsidR="00F9352E">
                  <w:rPr>
                    <w:b/>
                    <w:sz w:val="12"/>
                  </w:rPr>
                  <w:t>.</w:t>
                </w:r>
              </w:p>
              <w:p w:rsidR="001476DD" w:rsidRDefault="005C22A7">
                <w:pPr>
                  <w:spacing w:before="54"/>
                  <w:ind w:left="20"/>
                  <w:rPr>
                    <w:b/>
                    <w:sz w:val="12"/>
                  </w:rPr>
                </w:pPr>
                <w:r w:rsidRPr="005C22A7">
                  <w:rPr>
                    <w:sz w:val="12"/>
                  </w:rPr>
                  <w:t xml:space="preserve">(R) 2016 </w:t>
                </w:r>
                <w:proofErr w:type="spellStart"/>
                <w:r w:rsidRPr="005C22A7">
                  <w:rPr>
                    <w:sz w:val="12"/>
                  </w:rPr>
                  <w:t>KyroChem</w:t>
                </w:r>
                <w:proofErr w:type="spellEnd"/>
                <w:r w:rsidRPr="005C22A7">
                  <w:rPr>
                    <w:sz w:val="12"/>
                  </w:rPr>
                  <w:t xml:space="preserve">. </w:t>
                </w:r>
                <w:proofErr w:type="spellStart"/>
                <w:r w:rsidRPr="005C22A7">
                  <w:rPr>
                    <w:sz w:val="12"/>
                  </w:rPr>
                  <w:t>Všetky</w:t>
                </w:r>
                <w:proofErr w:type="spellEnd"/>
                <w:r w:rsidRPr="005C22A7">
                  <w:rPr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sz w:val="12"/>
                  </w:rPr>
                  <w:t>práva</w:t>
                </w:r>
                <w:proofErr w:type="spellEnd"/>
                <w:r w:rsidRPr="005C22A7">
                  <w:rPr>
                    <w:sz w:val="12"/>
                  </w:rPr>
                  <w:t xml:space="preserve"> </w:t>
                </w:r>
                <w:proofErr w:type="spellStart"/>
                <w:r w:rsidRPr="005C22A7">
                  <w:rPr>
                    <w:sz w:val="12"/>
                  </w:rPr>
                  <w:t>vyhradené</w:t>
                </w:r>
                <w:proofErr w:type="spellEnd"/>
              </w:p>
            </w:txbxContent>
          </v:textbox>
          <w10:wrap anchorx="page" anchory="page"/>
        </v:shape>
      </w:pict>
    </w:r>
    <w:r w:rsidR="00E83801" w:rsidRPr="00E83801">
      <w:pict>
        <v:shape id="_x0000_s2051" type="#_x0000_t202" style="position:absolute;margin-left:502.2pt;margin-top:794.35pt;width:23.5pt;height:13.2pt;z-index:-15861760;mso-position-horizontal-relative:page;mso-position-vertical-relative:page" filled="f" stroked="f">
          <v:textbox style="mso-next-textbox:#_x0000_s2051" inset="0,0,0,0">
            <w:txbxContent>
              <w:p w:rsidR="001476DD" w:rsidRDefault="00E83801">
                <w:pPr>
                  <w:spacing w:before="13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 w:rsidR="00F9352E"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C4B1F">
                  <w:rPr>
                    <w:b/>
                    <w:noProof/>
                    <w:sz w:val="20"/>
                  </w:rPr>
                  <w:t>1</w:t>
                </w:r>
                <w:r>
                  <w:fldChar w:fldCharType="end"/>
                </w:r>
                <w:r w:rsidR="00F9352E">
                  <w:rPr>
                    <w:b/>
                    <w:sz w:val="20"/>
                  </w:rPr>
                  <w:t xml:space="preserve"> /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4A2" w:rsidRDefault="00A954A2" w:rsidP="001476DD">
      <w:r>
        <w:separator/>
      </w:r>
    </w:p>
  </w:footnote>
  <w:footnote w:type="continuationSeparator" w:id="0">
    <w:p w:rsidR="00A954A2" w:rsidRDefault="00A954A2" w:rsidP="00147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DD" w:rsidRDefault="00F9352E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w:drawing>
        <wp:anchor distT="0" distB="0" distL="0" distR="0" simplePos="0" relativeHeight="487452672" behindDoc="1" locked="0" layoutInCell="1" allowOverlap="1">
          <wp:simplePos x="0" y="0"/>
          <wp:positionH relativeFrom="page">
            <wp:posOffset>5058696</wp:posOffset>
          </wp:positionH>
          <wp:positionV relativeFrom="page">
            <wp:posOffset>406716</wp:posOffset>
          </wp:positionV>
          <wp:extent cx="1900693" cy="9508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0693" cy="950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3801" w:rsidRPr="00E838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pt;margin-top:34.75pt;width:69.7pt;height:13.2pt;z-index:-15863296;mso-position-horizontal-relative:page;mso-position-vertical-relative:page" filled="f" stroked="f">
          <v:textbox style="mso-next-textbox:#_x0000_s2049" inset="0,0,0,0">
            <w:txbxContent>
              <w:p w:rsidR="001476DD" w:rsidRDefault="00F9352E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Stand: 01/2022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500"/>
    <w:multiLevelType w:val="hybridMultilevel"/>
    <w:tmpl w:val="4E14E0A6"/>
    <w:lvl w:ilvl="0" w:tplc="BCCEC5C2">
      <w:numFmt w:val="bullet"/>
      <w:lvlText w:val="•"/>
      <w:lvlJc w:val="left"/>
      <w:pPr>
        <w:ind w:left="830" w:hanging="360"/>
      </w:pPr>
      <w:rPr>
        <w:rFonts w:ascii="OpenSymbol" w:eastAsia="OpenSymbol" w:hAnsi="OpenSymbol" w:cs="OpenSymbol" w:hint="default"/>
        <w:spacing w:val="-3"/>
        <w:w w:val="100"/>
        <w:sz w:val="24"/>
        <w:szCs w:val="24"/>
        <w:lang w:val="de-DE" w:eastAsia="en-US" w:bidi="ar-SA"/>
      </w:rPr>
    </w:lvl>
    <w:lvl w:ilvl="1" w:tplc="3B78C288">
      <w:numFmt w:val="bullet"/>
      <w:lvlText w:val="•"/>
      <w:lvlJc w:val="left"/>
      <w:pPr>
        <w:ind w:left="1457" w:hanging="360"/>
      </w:pPr>
      <w:rPr>
        <w:rFonts w:hint="default"/>
        <w:lang w:val="de-DE" w:eastAsia="en-US" w:bidi="ar-SA"/>
      </w:rPr>
    </w:lvl>
    <w:lvl w:ilvl="2" w:tplc="982A09C0">
      <w:numFmt w:val="bullet"/>
      <w:lvlText w:val="•"/>
      <w:lvlJc w:val="left"/>
      <w:pPr>
        <w:ind w:left="2074" w:hanging="360"/>
      </w:pPr>
      <w:rPr>
        <w:rFonts w:hint="default"/>
        <w:lang w:val="de-DE" w:eastAsia="en-US" w:bidi="ar-SA"/>
      </w:rPr>
    </w:lvl>
    <w:lvl w:ilvl="3" w:tplc="87BE08DC">
      <w:numFmt w:val="bullet"/>
      <w:lvlText w:val="•"/>
      <w:lvlJc w:val="left"/>
      <w:pPr>
        <w:ind w:left="2692" w:hanging="360"/>
      </w:pPr>
      <w:rPr>
        <w:rFonts w:hint="default"/>
        <w:lang w:val="de-DE" w:eastAsia="en-US" w:bidi="ar-SA"/>
      </w:rPr>
    </w:lvl>
    <w:lvl w:ilvl="4" w:tplc="2BE68940">
      <w:numFmt w:val="bullet"/>
      <w:lvlText w:val="•"/>
      <w:lvlJc w:val="left"/>
      <w:pPr>
        <w:ind w:left="3309" w:hanging="360"/>
      </w:pPr>
      <w:rPr>
        <w:rFonts w:hint="default"/>
        <w:lang w:val="de-DE" w:eastAsia="en-US" w:bidi="ar-SA"/>
      </w:rPr>
    </w:lvl>
    <w:lvl w:ilvl="5" w:tplc="F8FA36CE">
      <w:numFmt w:val="bullet"/>
      <w:lvlText w:val="•"/>
      <w:lvlJc w:val="left"/>
      <w:pPr>
        <w:ind w:left="3927" w:hanging="360"/>
      </w:pPr>
      <w:rPr>
        <w:rFonts w:hint="default"/>
        <w:lang w:val="de-DE" w:eastAsia="en-US" w:bidi="ar-SA"/>
      </w:rPr>
    </w:lvl>
    <w:lvl w:ilvl="6" w:tplc="FFC275C2">
      <w:numFmt w:val="bullet"/>
      <w:lvlText w:val="•"/>
      <w:lvlJc w:val="left"/>
      <w:pPr>
        <w:ind w:left="4544" w:hanging="360"/>
      </w:pPr>
      <w:rPr>
        <w:rFonts w:hint="default"/>
        <w:lang w:val="de-DE" w:eastAsia="en-US" w:bidi="ar-SA"/>
      </w:rPr>
    </w:lvl>
    <w:lvl w:ilvl="7" w:tplc="198C936C">
      <w:numFmt w:val="bullet"/>
      <w:lvlText w:val="•"/>
      <w:lvlJc w:val="left"/>
      <w:pPr>
        <w:ind w:left="5161" w:hanging="360"/>
      </w:pPr>
      <w:rPr>
        <w:rFonts w:hint="default"/>
        <w:lang w:val="de-DE" w:eastAsia="en-US" w:bidi="ar-SA"/>
      </w:rPr>
    </w:lvl>
    <w:lvl w:ilvl="8" w:tplc="F900F702">
      <w:numFmt w:val="bullet"/>
      <w:lvlText w:val="•"/>
      <w:lvlJc w:val="left"/>
      <w:pPr>
        <w:ind w:left="5779" w:hanging="360"/>
      </w:pPr>
      <w:rPr>
        <w:rFonts w:hint="default"/>
        <w:lang w:val="de-DE" w:eastAsia="en-US" w:bidi="ar-SA"/>
      </w:rPr>
    </w:lvl>
  </w:abstractNum>
  <w:abstractNum w:abstractNumId="1">
    <w:nsid w:val="4AA44093"/>
    <w:multiLevelType w:val="hybridMultilevel"/>
    <w:tmpl w:val="1E3C526C"/>
    <w:lvl w:ilvl="0" w:tplc="7720969E">
      <w:numFmt w:val="bullet"/>
      <w:lvlText w:val="•"/>
      <w:lvlJc w:val="left"/>
      <w:pPr>
        <w:ind w:left="830" w:hanging="360"/>
      </w:pPr>
      <w:rPr>
        <w:rFonts w:ascii="OpenSymbol" w:eastAsia="OpenSymbol" w:hAnsi="OpenSymbol" w:cs="OpenSymbol" w:hint="default"/>
        <w:spacing w:val="-2"/>
        <w:w w:val="100"/>
        <w:sz w:val="20"/>
        <w:szCs w:val="20"/>
        <w:lang w:val="de-DE" w:eastAsia="en-US" w:bidi="ar-SA"/>
      </w:rPr>
    </w:lvl>
    <w:lvl w:ilvl="1" w:tplc="9E76B962">
      <w:numFmt w:val="bullet"/>
      <w:lvlText w:val="•"/>
      <w:lvlJc w:val="left"/>
      <w:pPr>
        <w:ind w:left="1457" w:hanging="360"/>
      </w:pPr>
      <w:rPr>
        <w:rFonts w:hint="default"/>
        <w:lang w:val="de-DE" w:eastAsia="en-US" w:bidi="ar-SA"/>
      </w:rPr>
    </w:lvl>
    <w:lvl w:ilvl="2" w:tplc="7F64AA46">
      <w:numFmt w:val="bullet"/>
      <w:lvlText w:val="•"/>
      <w:lvlJc w:val="left"/>
      <w:pPr>
        <w:ind w:left="2074" w:hanging="360"/>
      </w:pPr>
      <w:rPr>
        <w:rFonts w:hint="default"/>
        <w:lang w:val="de-DE" w:eastAsia="en-US" w:bidi="ar-SA"/>
      </w:rPr>
    </w:lvl>
    <w:lvl w:ilvl="3" w:tplc="BE86D040">
      <w:numFmt w:val="bullet"/>
      <w:lvlText w:val="•"/>
      <w:lvlJc w:val="left"/>
      <w:pPr>
        <w:ind w:left="2692" w:hanging="360"/>
      </w:pPr>
      <w:rPr>
        <w:rFonts w:hint="default"/>
        <w:lang w:val="de-DE" w:eastAsia="en-US" w:bidi="ar-SA"/>
      </w:rPr>
    </w:lvl>
    <w:lvl w:ilvl="4" w:tplc="C8726F56">
      <w:numFmt w:val="bullet"/>
      <w:lvlText w:val="•"/>
      <w:lvlJc w:val="left"/>
      <w:pPr>
        <w:ind w:left="3309" w:hanging="360"/>
      </w:pPr>
      <w:rPr>
        <w:rFonts w:hint="default"/>
        <w:lang w:val="de-DE" w:eastAsia="en-US" w:bidi="ar-SA"/>
      </w:rPr>
    </w:lvl>
    <w:lvl w:ilvl="5" w:tplc="CCE4FAD4">
      <w:numFmt w:val="bullet"/>
      <w:lvlText w:val="•"/>
      <w:lvlJc w:val="left"/>
      <w:pPr>
        <w:ind w:left="3927" w:hanging="360"/>
      </w:pPr>
      <w:rPr>
        <w:rFonts w:hint="default"/>
        <w:lang w:val="de-DE" w:eastAsia="en-US" w:bidi="ar-SA"/>
      </w:rPr>
    </w:lvl>
    <w:lvl w:ilvl="6" w:tplc="1E18E4E4">
      <w:numFmt w:val="bullet"/>
      <w:lvlText w:val="•"/>
      <w:lvlJc w:val="left"/>
      <w:pPr>
        <w:ind w:left="4544" w:hanging="360"/>
      </w:pPr>
      <w:rPr>
        <w:rFonts w:hint="default"/>
        <w:lang w:val="de-DE" w:eastAsia="en-US" w:bidi="ar-SA"/>
      </w:rPr>
    </w:lvl>
    <w:lvl w:ilvl="7" w:tplc="A550739A">
      <w:numFmt w:val="bullet"/>
      <w:lvlText w:val="•"/>
      <w:lvlJc w:val="left"/>
      <w:pPr>
        <w:ind w:left="5161" w:hanging="360"/>
      </w:pPr>
      <w:rPr>
        <w:rFonts w:hint="default"/>
        <w:lang w:val="de-DE" w:eastAsia="en-US" w:bidi="ar-SA"/>
      </w:rPr>
    </w:lvl>
    <w:lvl w:ilvl="8" w:tplc="5E70476C">
      <w:numFmt w:val="bullet"/>
      <w:lvlText w:val="•"/>
      <w:lvlJc w:val="left"/>
      <w:pPr>
        <w:ind w:left="5779" w:hanging="360"/>
      </w:pPr>
      <w:rPr>
        <w:rFonts w:hint="default"/>
        <w:lang w:val="de-DE" w:eastAsia="en-US" w:bidi="ar-SA"/>
      </w:rPr>
    </w:lvl>
  </w:abstractNum>
  <w:abstractNum w:abstractNumId="2">
    <w:nsid w:val="6F4C00D2"/>
    <w:multiLevelType w:val="hybridMultilevel"/>
    <w:tmpl w:val="DF126316"/>
    <w:lvl w:ilvl="0" w:tplc="9CF02624">
      <w:numFmt w:val="bullet"/>
      <w:lvlText w:val="•"/>
      <w:lvlJc w:val="left"/>
      <w:pPr>
        <w:ind w:left="830" w:hanging="360"/>
      </w:pPr>
      <w:rPr>
        <w:rFonts w:ascii="OpenSymbol" w:eastAsia="OpenSymbol" w:hAnsi="OpenSymbol" w:cs="OpenSymbol" w:hint="default"/>
        <w:spacing w:val="-3"/>
        <w:w w:val="100"/>
        <w:sz w:val="21"/>
        <w:szCs w:val="21"/>
        <w:lang w:val="de-DE" w:eastAsia="en-US" w:bidi="ar-SA"/>
      </w:rPr>
    </w:lvl>
    <w:lvl w:ilvl="1" w:tplc="7DB2B7F4">
      <w:numFmt w:val="bullet"/>
      <w:lvlText w:val="•"/>
      <w:lvlJc w:val="left"/>
      <w:pPr>
        <w:ind w:left="1457" w:hanging="360"/>
      </w:pPr>
      <w:rPr>
        <w:rFonts w:hint="default"/>
        <w:lang w:val="de-DE" w:eastAsia="en-US" w:bidi="ar-SA"/>
      </w:rPr>
    </w:lvl>
    <w:lvl w:ilvl="2" w:tplc="C554DF9C">
      <w:numFmt w:val="bullet"/>
      <w:lvlText w:val="•"/>
      <w:lvlJc w:val="left"/>
      <w:pPr>
        <w:ind w:left="2074" w:hanging="360"/>
      </w:pPr>
      <w:rPr>
        <w:rFonts w:hint="default"/>
        <w:lang w:val="de-DE" w:eastAsia="en-US" w:bidi="ar-SA"/>
      </w:rPr>
    </w:lvl>
    <w:lvl w:ilvl="3" w:tplc="0CCE9C34">
      <w:numFmt w:val="bullet"/>
      <w:lvlText w:val="•"/>
      <w:lvlJc w:val="left"/>
      <w:pPr>
        <w:ind w:left="2692" w:hanging="360"/>
      </w:pPr>
      <w:rPr>
        <w:rFonts w:hint="default"/>
        <w:lang w:val="de-DE" w:eastAsia="en-US" w:bidi="ar-SA"/>
      </w:rPr>
    </w:lvl>
    <w:lvl w:ilvl="4" w:tplc="2692FD5C">
      <w:numFmt w:val="bullet"/>
      <w:lvlText w:val="•"/>
      <w:lvlJc w:val="left"/>
      <w:pPr>
        <w:ind w:left="3309" w:hanging="360"/>
      </w:pPr>
      <w:rPr>
        <w:rFonts w:hint="default"/>
        <w:lang w:val="de-DE" w:eastAsia="en-US" w:bidi="ar-SA"/>
      </w:rPr>
    </w:lvl>
    <w:lvl w:ilvl="5" w:tplc="6F12753A">
      <w:numFmt w:val="bullet"/>
      <w:lvlText w:val="•"/>
      <w:lvlJc w:val="left"/>
      <w:pPr>
        <w:ind w:left="3927" w:hanging="360"/>
      </w:pPr>
      <w:rPr>
        <w:rFonts w:hint="default"/>
        <w:lang w:val="de-DE" w:eastAsia="en-US" w:bidi="ar-SA"/>
      </w:rPr>
    </w:lvl>
    <w:lvl w:ilvl="6" w:tplc="9648B8DE">
      <w:numFmt w:val="bullet"/>
      <w:lvlText w:val="•"/>
      <w:lvlJc w:val="left"/>
      <w:pPr>
        <w:ind w:left="4544" w:hanging="360"/>
      </w:pPr>
      <w:rPr>
        <w:rFonts w:hint="default"/>
        <w:lang w:val="de-DE" w:eastAsia="en-US" w:bidi="ar-SA"/>
      </w:rPr>
    </w:lvl>
    <w:lvl w:ilvl="7" w:tplc="CD1A1678">
      <w:numFmt w:val="bullet"/>
      <w:lvlText w:val="•"/>
      <w:lvlJc w:val="left"/>
      <w:pPr>
        <w:ind w:left="5161" w:hanging="360"/>
      </w:pPr>
      <w:rPr>
        <w:rFonts w:hint="default"/>
        <w:lang w:val="de-DE" w:eastAsia="en-US" w:bidi="ar-SA"/>
      </w:rPr>
    </w:lvl>
    <w:lvl w:ilvl="8" w:tplc="696CD7FA">
      <w:numFmt w:val="bullet"/>
      <w:lvlText w:val="•"/>
      <w:lvlJc w:val="left"/>
      <w:pPr>
        <w:ind w:left="5779" w:hanging="360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76DD"/>
    <w:rsid w:val="001476DD"/>
    <w:rsid w:val="00313290"/>
    <w:rsid w:val="003F7C6C"/>
    <w:rsid w:val="00510D90"/>
    <w:rsid w:val="00590920"/>
    <w:rsid w:val="005C22A7"/>
    <w:rsid w:val="005E00BA"/>
    <w:rsid w:val="00613D43"/>
    <w:rsid w:val="00706C03"/>
    <w:rsid w:val="00713034"/>
    <w:rsid w:val="008F1FB5"/>
    <w:rsid w:val="0099095E"/>
    <w:rsid w:val="00A954A2"/>
    <w:rsid w:val="00AB1559"/>
    <w:rsid w:val="00B55540"/>
    <w:rsid w:val="00B904D3"/>
    <w:rsid w:val="00BC4B1F"/>
    <w:rsid w:val="00BD74A9"/>
    <w:rsid w:val="00D33056"/>
    <w:rsid w:val="00DB264E"/>
    <w:rsid w:val="00E16403"/>
    <w:rsid w:val="00E83801"/>
    <w:rsid w:val="00F9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1476DD"/>
    <w:rPr>
      <w:rFonts w:ascii="Arial" w:eastAsia="Arial" w:hAnsi="Arial" w:cs="Arial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6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1476DD"/>
    <w:rPr>
      <w:sz w:val="24"/>
      <w:szCs w:val="24"/>
    </w:rPr>
  </w:style>
  <w:style w:type="paragraph" w:customStyle="1" w:styleId="Heading1">
    <w:name w:val="Heading 1"/>
    <w:basedOn w:val="Normlny"/>
    <w:uiPriority w:val="1"/>
    <w:qFormat/>
    <w:rsid w:val="001476DD"/>
    <w:pPr>
      <w:ind w:left="240"/>
      <w:outlineLvl w:val="1"/>
    </w:pPr>
    <w:rPr>
      <w:b/>
      <w:bCs/>
      <w:sz w:val="24"/>
      <w:szCs w:val="24"/>
    </w:rPr>
  </w:style>
  <w:style w:type="paragraph" w:styleId="Nzov">
    <w:name w:val="Title"/>
    <w:basedOn w:val="Normlny"/>
    <w:uiPriority w:val="1"/>
    <w:qFormat/>
    <w:rsid w:val="001476DD"/>
    <w:pPr>
      <w:spacing w:before="88"/>
      <w:ind w:left="3839" w:right="4031"/>
      <w:jc w:val="center"/>
    </w:pPr>
    <w:rPr>
      <w:b/>
      <w:bCs/>
      <w:sz w:val="36"/>
      <w:szCs w:val="36"/>
    </w:rPr>
  </w:style>
  <w:style w:type="paragraph" w:styleId="Odsekzoznamu">
    <w:name w:val="List Paragraph"/>
    <w:basedOn w:val="Normlny"/>
    <w:uiPriority w:val="1"/>
    <w:qFormat/>
    <w:rsid w:val="001476DD"/>
  </w:style>
  <w:style w:type="paragraph" w:customStyle="1" w:styleId="TableParagraph">
    <w:name w:val="Table Paragraph"/>
    <w:basedOn w:val="Normlny"/>
    <w:uiPriority w:val="1"/>
    <w:qFormat/>
    <w:rsid w:val="001476DD"/>
    <w:pPr>
      <w:ind w:left="830"/>
    </w:pPr>
  </w:style>
  <w:style w:type="paragraph" w:styleId="Hlavika">
    <w:name w:val="header"/>
    <w:basedOn w:val="Normlny"/>
    <w:link w:val="HlavikaChar"/>
    <w:uiPriority w:val="99"/>
    <w:semiHidden/>
    <w:unhideWhenUsed/>
    <w:rsid w:val="005C22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C22A7"/>
    <w:rPr>
      <w:rFonts w:ascii="Arial" w:eastAsia="Arial" w:hAnsi="Arial" w:cs="Arial"/>
      <w:lang w:val="de-DE"/>
    </w:rPr>
  </w:style>
  <w:style w:type="paragraph" w:styleId="Pta">
    <w:name w:val="footer"/>
    <w:basedOn w:val="Normlny"/>
    <w:link w:val="PtaChar"/>
    <w:uiPriority w:val="99"/>
    <w:semiHidden/>
    <w:unhideWhenUsed/>
    <w:rsid w:val="005C22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5C22A7"/>
    <w:rPr>
      <w:rFonts w:ascii="Arial" w:eastAsia="Arial" w:hAnsi="Arial" w:cs="Arial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kyrochem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yrochem@kyrochem.d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KyroChem</dc:creator>
  <cp:lastModifiedBy>uzivatel</cp:lastModifiedBy>
  <cp:revision>2</cp:revision>
  <dcterms:created xsi:type="dcterms:W3CDTF">2022-07-14T16:42:00Z</dcterms:created>
  <dcterms:modified xsi:type="dcterms:W3CDTF">2022-07-14T16:42:00Z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2022-06-16T00:00:00Z</vt:filetime>
  </property>
</Properties>
</file>